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2251"/>
        <w:tblW w:w="0" w:type="auto"/>
        <w:tblLook w:val="04A0" w:firstRow="1" w:lastRow="0" w:firstColumn="1" w:lastColumn="0" w:noHBand="0" w:noVBand="1"/>
      </w:tblPr>
      <w:tblGrid>
        <w:gridCol w:w="582"/>
        <w:gridCol w:w="2503"/>
        <w:gridCol w:w="7088"/>
      </w:tblGrid>
      <w:tr w:rsidR="002F0651" w:rsidTr="00644E53">
        <w:tc>
          <w:tcPr>
            <w:tcW w:w="582" w:type="dxa"/>
          </w:tcPr>
          <w:p w:rsidR="00513FE8" w:rsidRPr="00644E53" w:rsidRDefault="00513FE8" w:rsidP="00EE5DC2">
            <w:pPr>
              <w:rPr>
                <w:sz w:val="16"/>
                <w:szCs w:val="16"/>
              </w:rPr>
            </w:pPr>
            <w:r w:rsidRPr="00644E53">
              <w:rPr>
                <w:rFonts w:hint="eastAsia"/>
                <w:sz w:val="16"/>
                <w:szCs w:val="16"/>
              </w:rPr>
              <w:t>区分</w:t>
            </w:r>
          </w:p>
        </w:tc>
        <w:tc>
          <w:tcPr>
            <w:tcW w:w="2503" w:type="dxa"/>
          </w:tcPr>
          <w:p w:rsidR="00513FE8" w:rsidRDefault="00544CA6" w:rsidP="006B0A15">
            <w:pPr>
              <w:jc w:val="center"/>
            </w:pPr>
            <w:r w:rsidRPr="00644E53">
              <w:rPr>
                <w:rFonts w:hint="eastAsia"/>
                <w:noProof/>
                <w:sz w:val="16"/>
                <w:szCs w:val="16"/>
              </w:rPr>
              <mc:AlternateContent>
                <mc:Choice Requires="wps">
                  <w:drawing>
                    <wp:anchor distT="0" distB="0" distL="114300" distR="114300" simplePos="0" relativeHeight="251659264" behindDoc="0" locked="0" layoutInCell="1" allowOverlap="1" wp14:anchorId="3A037406" wp14:editId="3186DEC6">
                      <wp:simplePos x="0" y="0"/>
                      <wp:positionH relativeFrom="column">
                        <wp:posOffset>161925</wp:posOffset>
                      </wp:positionH>
                      <wp:positionV relativeFrom="paragraph">
                        <wp:posOffset>-520700</wp:posOffset>
                      </wp:positionV>
                      <wp:extent cx="5543550" cy="4095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543550" cy="409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E5DC2" w:rsidRPr="006C4518" w:rsidRDefault="00EE5DC2">
                                  <w:pPr>
                                    <w:rPr>
                                      <w:b/>
                                      <w:sz w:val="28"/>
                                      <w:szCs w:val="28"/>
                                    </w:rPr>
                                  </w:pPr>
                                  <w:bookmarkStart w:id="0" w:name="_GoBack"/>
                                  <w:r w:rsidRPr="006C4518">
                                    <w:rPr>
                                      <w:rFonts w:hint="eastAsia"/>
                                      <w:b/>
                                      <w:sz w:val="24"/>
                                      <w:szCs w:val="24"/>
                                    </w:rPr>
                                    <w:t xml:space="preserve">　</w:t>
                                  </w:r>
                                  <w:r w:rsidRPr="006C4518">
                                    <w:rPr>
                                      <w:rFonts w:hint="eastAsia"/>
                                      <w:b/>
                                      <w:sz w:val="28"/>
                                      <w:szCs w:val="28"/>
                                    </w:rPr>
                                    <w:t>学習指導要領に示されている自立活動の内容（</w:t>
                                  </w:r>
                                  <w:r w:rsidR="00644E53" w:rsidRPr="006C4518">
                                    <w:rPr>
                                      <w:rFonts w:hint="eastAsia"/>
                                      <w:b/>
                                      <w:sz w:val="28"/>
                                      <w:szCs w:val="28"/>
                                    </w:rPr>
                                    <w:t>６</w:t>
                                  </w:r>
                                  <w:r w:rsidRPr="006C4518">
                                    <w:rPr>
                                      <w:rFonts w:hint="eastAsia"/>
                                      <w:b/>
                                      <w:sz w:val="28"/>
                                      <w:szCs w:val="28"/>
                                    </w:rPr>
                                    <w:t>区分と</w:t>
                                  </w:r>
                                  <w:r w:rsidR="00644E53" w:rsidRPr="006C4518">
                                    <w:rPr>
                                      <w:rFonts w:hint="eastAsia"/>
                                      <w:b/>
                                      <w:sz w:val="28"/>
                                      <w:szCs w:val="28"/>
                                    </w:rPr>
                                    <w:t>２７</w:t>
                                  </w:r>
                                  <w:r w:rsidRPr="006C4518">
                                    <w:rPr>
                                      <w:rFonts w:hint="eastAsia"/>
                                      <w:b/>
                                      <w:sz w:val="28"/>
                                      <w:szCs w:val="28"/>
                                    </w:rPr>
                                    <w:t>項目）</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037406" id="_x0000_t202" coordsize="21600,21600" o:spt="202" path="m,l,21600r21600,l21600,xe">
                      <v:stroke joinstyle="miter"/>
                      <v:path gradientshapeok="t" o:connecttype="rect"/>
                    </v:shapetype>
                    <v:shape id="テキスト ボックス 1" o:spid="_x0000_s1026" type="#_x0000_t202" style="position:absolute;left:0;text-align:left;margin-left:12.75pt;margin-top:-41pt;width:436.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" fillcolor="white [3201]" stroked="f" strokeweight=".5pt">
                      <v:textbox>
                        <w:txbxContent>
                          <w:p w:rsidR="00EE5DC2" w:rsidRPr="006C4518" w:rsidRDefault="00EE5DC2">
                            <w:pPr>
                              <w:rPr>
                                <w:b/>
                                <w:sz w:val="28"/>
                                <w:szCs w:val="28"/>
                              </w:rPr>
                            </w:pPr>
                            <w:bookmarkStart w:id="1" w:name="_GoBack"/>
                            <w:r w:rsidRPr="006C4518">
                              <w:rPr>
                                <w:rFonts w:hint="eastAsia"/>
                                <w:b/>
                                <w:sz w:val="24"/>
                                <w:szCs w:val="24"/>
                              </w:rPr>
                              <w:t xml:space="preserve">　</w:t>
                            </w:r>
                            <w:r w:rsidRPr="006C4518">
                              <w:rPr>
                                <w:rFonts w:hint="eastAsia"/>
                                <w:b/>
                                <w:sz w:val="28"/>
                                <w:szCs w:val="28"/>
                              </w:rPr>
                              <w:t>学習指導要領に示されている自立活動の内容（</w:t>
                            </w:r>
                            <w:r w:rsidR="00644E53" w:rsidRPr="006C4518">
                              <w:rPr>
                                <w:rFonts w:hint="eastAsia"/>
                                <w:b/>
                                <w:sz w:val="28"/>
                                <w:szCs w:val="28"/>
                              </w:rPr>
                              <w:t>６</w:t>
                            </w:r>
                            <w:r w:rsidRPr="006C4518">
                              <w:rPr>
                                <w:rFonts w:hint="eastAsia"/>
                                <w:b/>
                                <w:sz w:val="28"/>
                                <w:szCs w:val="28"/>
                              </w:rPr>
                              <w:t>区分と</w:t>
                            </w:r>
                            <w:r w:rsidR="00644E53" w:rsidRPr="006C4518">
                              <w:rPr>
                                <w:rFonts w:hint="eastAsia"/>
                                <w:b/>
                                <w:sz w:val="28"/>
                                <w:szCs w:val="28"/>
                              </w:rPr>
                              <w:t>２７</w:t>
                            </w:r>
                            <w:r w:rsidRPr="006C4518">
                              <w:rPr>
                                <w:rFonts w:hint="eastAsia"/>
                                <w:b/>
                                <w:sz w:val="28"/>
                                <w:szCs w:val="28"/>
                              </w:rPr>
                              <w:t>項目）</w:t>
                            </w:r>
                            <w:bookmarkEnd w:id="1"/>
                          </w:p>
                        </w:txbxContent>
                      </v:textbox>
                    </v:shape>
                  </w:pict>
                </mc:Fallback>
              </mc:AlternateContent>
            </w:r>
            <w:r w:rsidR="00513FE8">
              <w:rPr>
                <w:rFonts w:hint="eastAsia"/>
              </w:rPr>
              <w:t>項</w:t>
            </w:r>
            <w:r w:rsidR="006B0A15">
              <w:rPr>
                <w:rFonts w:hint="eastAsia"/>
              </w:rPr>
              <w:t xml:space="preserve">    </w:t>
            </w:r>
            <w:r w:rsidR="00513FE8">
              <w:rPr>
                <w:rFonts w:hint="eastAsia"/>
              </w:rPr>
              <w:t>目</w:t>
            </w:r>
          </w:p>
        </w:tc>
        <w:tc>
          <w:tcPr>
            <w:tcW w:w="7088" w:type="dxa"/>
          </w:tcPr>
          <w:p w:rsidR="00513FE8" w:rsidRDefault="00513FE8" w:rsidP="006B0A15">
            <w:pPr>
              <w:jc w:val="center"/>
            </w:pPr>
            <w:r>
              <w:rPr>
                <w:rFonts w:hint="eastAsia"/>
              </w:rPr>
              <w:t>項</w:t>
            </w:r>
            <w:r w:rsidR="006B0A15">
              <w:rPr>
                <w:rFonts w:hint="eastAsia"/>
              </w:rPr>
              <w:t xml:space="preserve">  </w:t>
            </w:r>
            <w:r>
              <w:rPr>
                <w:rFonts w:hint="eastAsia"/>
              </w:rPr>
              <w:t>目</w:t>
            </w:r>
            <w:r w:rsidR="006B0A15">
              <w:rPr>
                <w:rFonts w:hint="eastAsia"/>
              </w:rPr>
              <w:t xml:space="preserve">  </w:t>
            </w:r>
            <w:r>
              <w:rPr>
                <w:rFonts w:hint="eastAsia"/>
              </w:rPr>
              <w:t>の</w:t>
            </w:r>
            <w:r w:rsidR="006B0A15">
              <w:rPr>
                <w:rFonts w:hint="eastAsia"/>
              </w:rPr>
              <w:t xml:space="preserve">  </w:t>
            </w:r>
            <w:r>
              <w:rPr>
                <w:rFonts w:hint="eastAsia"/>
              </w:rPr>
              <w:t>説</w:t>
            </w:r>
            <w:r w:rsidR="006B0A15">
              <w:rPr>
                <w:rFonts w:hint="eastAsia"/>
              </w:rPr>
              <w:t xml:space="preserve">  </w:t>
            </w:r>
            <w:r>
              <w:rPr>
                <w:rFonts w:hint="eastAsia"/>
              </w:rPr>
              <w:t>明</w:t>
            </w:r>
          </w:p>
        </w:tc>
      </w:tr>
      <w:tr w:rsidR="002F0651" w:rsidTr="00644E53">
        <w:tc>
          <w:tcPr>
            <w:tcW w:w="582" w:type="dxa"/>
            <w:vMerge w:val="restart"/>
            <w:textDirection w:val="tbRlV"/>
            <w:vAlign w:val="center"/>
          </w:tcPr>
          <w:p w:rsidR="00513FE8" w:rsidRDefault="00513FE8" w:rsidP="00EE5DC2">
            <w:pPr>
              <w:ind w:left="113" w:right="113"/>
              <w:jc w:val="center"/>
            </w:pPr>
            <w:r>
              <w:rPr>
                <w:rFonts w:hint="eastAsia"/>
              </w:rPr>
              <w:t>健　康　の　保　持</w:t>
            </w:r>
          </w:p>
        </w:tc>
        <w:tc>
          <w:tcPr>
            <w:tcW w:w="2503" w:type="dxa"/>
            <w:vAlign w:val="center"/>
          </w:tcPr>
          <w:p w:rsidR="00513FE8" w:rsidRPr="00644E53" w:rsidRDefault="006B0A15" w:rsidP="00644E53">
            <w:pPr>
              <w:spacing w:line="0" w:lineRule="atLeast"/>
              <w:ind w:left="180" w:hangingChars="100" w:hanging="180"/>
              <w:rPr>
                <w:sz w:val="20"/>
                <w:szCs w:val="20"/>
              </w:rPr>
            </w:pPr>
            <w:r w:rsidRPr="00644E53">
              <w:rPr>
                <w:rFonts w:hint="eastAsia"/>
                <w:sz w:val="20"/>
                <w:szCs w:val="20"/>
              </w:rPr>
              <w:t>(1)</w:t>
            </w:r>
            <w:r w:rsidR="00513FE8" w:rsidRPr="00644E53">
              <w:rPr>
                <w:rFonts w:hint="eastAsia"/>
                <w:sz w:val="20"/>
                <w:szCs w:val="20"/>
              </w:rPr>
              <w:t>生活のリズムや生活習慣の形成に関すること</w:t>
            </w:r>
          </w:p>
        </w:tc>
        <w:tc>
          <w:tcPr>
            <w:tcW w:w="7088" w:type="dxa"/>
          </w:tcPr>
          <w:p w:rsidR="00513FE8" w:rsidRPr="00644E53" w:rsidRDefault="00AA0689" w:rsidP="00EE5DC2">
            <w:pPr>
              <w:rPr>
                <w:sz w:val="20"/>
                <w:szCs w:val="20"/>
              </w:rPr>
            </w:pPr>
            <w:r w:rsidRPr="00644E53">
              <w:rPr>
                <w:rFonts w:hint="eastAsia"/>
                <w:sz w:val="20"/>
                <w:szCs w:val="20"/>
              </w:rPr>
              <w:t>体温の調節、覚醒と睡眠など健康状態の維持・改善に必要な生活のリズムを身に付けること、食事や排泄などの生活習慣の形成、衣服の調節、室温の調整や換気、感染予防のための清潔の保持など健康な生活環境の形成を図る</w:t>
            </w:r>
            <w:r w:rsidR="008C3F0E" w:rsidRPr="00644E53">
              <w:rPr>
                <w:rFonts w:hint="eastAsia"/>
                <w:sz w:val="20"/>
                <w:szCs w:val="20"/>
              </w:rPr>
              <w:t>ことを意味している</w:t>
            </w:r>
            <w:r w:rsidRPr="00644E53">
              <w:rPr>
                <w:rFonts w:hint="eastAsia"/>
                <w:sz w:val="20"/>
                <w:szCs w:val="20"/>
              </w:rPr>
              <w:t>。</w:t>
            </w:r>
            <w:r w:rsidR="008C3F0E" w:rsidRPr="00644E53">
              <w:rPr>
                <w:rFonts w:hint="eastAsia"/>
                <w:sz w:val="20"/>
                <w:szCs w:val="20"/>
              </w:rPr>
              <w:t xml:space="preserve">　　　　　　　　　　　　　　</w:t>
            </w:r>
          </w:p>
        </w:tc>
      </w:tr>
      <w:tr w:rsidR="002F0651" w:rsidTr="00644E53">
        <w:tc>
          <w:tcPr>
            <w:tcW w:w="582" w:type="dxa"/>
            <w:vMerge/>
          </w:tcPr>
          <w:p w:rsidR="00513FE8" w:rsidRDefault="00513FE8" w:rsidP="00EE5DC2"/>
        </w:tc>
        <w:tc>
          <w:tcPr>
            <w:tcW w:w="2503" w:type="dxa"/>
            <w:vAlign w:val="center"/>
          </w:tcPr>
          <w:p w:rsidR="00513FE8" w:rsidRPr="00644E53" w:rsidRDefault="006B0A15" w:rsidP="00644E53">
            <w:pPr>
              <w:spacing w:line="0" w:lineRule="atLeast"/>
              <w:ind w:left="180" w:hangingChars="100" w:hanging="180"/>
              <w:rPr>
                <w:sz w:val="20"/>
                <w:szCs w:val="20"/>
              </w:rPr>
            </w:pPr>
            <w:r w:rsidRPr="00644E53">
              <w:rPr>
                <w:rFonts w:hint="eastAsia"/>
                <w:sz w:val="20"/>
                <w:szCs w:val="20"/>
              </w:rPr>
              <w:t>(2)</w:t>
            </w:r>
            <w:r w:rsidR="00513FE8" w:rsidRPr="00644E53">
              <w:rPr>
                <w:rFonts w:hint="eastAsia"/>
                <w:sz w:val="20"/>
                <w:szCs w:val="20"/>
              </w:rPr>
              <w:t>病気の状態の理解と生活管理に関すること</w:t>
            </w:r>
          </w:p>
        </w:tc>
        <w:tc>
          <w:tcPr>
            <w:tcW w:w="7088" w:type="dxa"/>
          </w:tcPr>
          <w:p w:rsidR="00513FE8" w:rsidRPr="00644E53" w:rsidRDefault="00AA0689" w:rsidP="00EE5DC2">
            <w:pPr>
              <w:rPr>
                <w:sz w:val="20"/>
                <w:szCs w:val="20"/>
              </w:rPr>
            </w:pPr>
            <w:r w:rsidRPr="00644E53">
              <w:rPr>
                <w:rFonts w:hint="eastAsia"/>
                <w:sz w:val="20"/>
                <w:szCs w:val="20"/>
              </w:rPr>
              <w:t>自分の病気の状態を理解し、その改善を図り、病気の進行の防止に必要な生活様式についての理解を深め、それに基づく生活の自己管理ができるようにする</w:t>
            </w:r>
            <w:r w:rsidR="008C3F0E" w:rsidRPr="00644E53">
              <w:rPr>
                <w:rFonts w:hint="eastAsia"/>
                <w:sz w:val="20"/>
                <w:szCs w:val="20"/>
              </w:rPr>
              <w:t xml:space="preserve">ことを意味している。　　　　　　　　　　　　　</w:t>
            </w:r>
          </w:p>
        </w:tc>
      </w:tr>
      <w:tr w:rsidR="002F0651" w:rsidTr="00644E53">
        <w:tc>
          <w:tcPr>
            <w:tcW w:w="582" w:type="dxa"/>
            <w:vMerge/>
          </w:tcPr>
          <w:p w:rsidR="00513FE8" w:rsidRDefault="00513FE8" w:rsidP="00EE5DC2"/>
        </w:tc>
        <w:tc>
          <w:tcPr>
            <w:tcW w:w="2503" w:type="dxa"/>
            <w:vAlign w:val="center"/>
          </w:tcPr>
          <w:p w:rsidR="00513FE8" w:rsidRPr="00644E53" w:rsidRDefault="006B0A15" w:rsidP="00644E53">
            <w:pPr>
              <w:spacing w:line="0" w:lineRule="atLeast"/>
              <w:ind w:left="180" w:hangingChars="100" w:hanging="180"/>
              <w:rPr>
                <w:sz w:val="20"/>
                <w:szCs w:val="20"/>
              </w:rPr>
            </w:pPr>
            <w:r w:rsidRPr="00644E53">
              <w:rPr>
                <w:rFonts w:hint="eastAsia"/>
                <w:sz w:val="20"/>
                <w:szCs w:val="20"/>
              </w:rPr>
              <w:t>(3)</w:t>
            </w:r>
            <w:r w:rsidR="00513FE8" w:rsidRPr="00644E53">
              <w:rPr>
                <w:rFonts w:hint="eastAsia"/>
                <w:sz w:val="20"/>
                <w:szCs w:val="20"/>
              </w:rPr>
              <w:t>身体各部の状態の理解と養護に関すること</w:t>
            </w:r>
          </w:p>
        </w:tc>
        <w:tc>
          <w:tcPr>
            <w:tcW w:w="7088" w:type="dxa"/>
          </w:tcPr>
          <w:p w:rsidR="00513FE8" w:rsidRPr="00644E53" w:rsidRDefault="00AA0689" w:rsidP="00EE5DC2">
            <w:pPr>
              <w:rPr>
                <w:sz w:val="20"/>
                <w:szCs w:val="20"/>
              </w:rPr>
            </w:pPr>
            <w:r w:rsidRPr="00644E53">
              <w:rPr>
                <w:rFonts w:hint="eastAsia"/>
                <w:sz w:val="20"/>
                <w:szCs w:val="20"/>
              </w:rPr>
              <w:t>病気や事故等による神経、筋、骨、皮膚等の身体</w:t>
            </w:r>
            <w:r w:rsidR="00C16EFC">
              <w:rPr>
                <w:rFonts w:hint="eastAsia"/>
                <w:sz w:val="20"/>
                <w:szCs w:val="20"/>
              </w:rPr>
              <w:t>各部の状態を理解し、その部位を適切に保護したり、症状の進行を防止</w:t>
            </w:r>
            <w:r w:rsidRPr="00644E53">
              <w:rPr>
                <w:rFonts w:hint="eastAsia"/>
                <w:sz w:val="20"/>
                <w:szCs w:val="20"/>
              </w:rPr>
              <w:t>したりできるようにする</w:t>
            </w:r>
            <w:r w:rsidR="008C3F0E" w:rsidRPr="00644E53">
              <w:rPr>
                <w:rFonts w:hint="eastAsia"/>
                <w:sz w:val="20"/>
                <w:szCs w:val="20"/>
              </w:rPr>
              <w:t>ことを意味している</w:t>
            </w:r>
            <w:r w:rsidRPr="00644E53">
              <w:rPr>
                <w:rFonts w:hint="eastAsia"/>
                <w:sz w:val="20"/>
                <w:szCs w:val="20"/>
              </w:rPr>
              <w:t>。</w:t>
            </w:r>
            <w:r w:rsidR="008C3F0E" w:rsidRPr="00644E53">
              <w:rPr>
                <w:rFonts w:hint="eastAsia"/>
                <w:sz w:val="20"/>
                <w:szCs w:val="20"/>
              </w:rPr>
              <w:t xml:space="preserve">　　　　　　　　　　　　　　　　　　</w:t>
            </w:r>
          </w:p>
        </w:tc>
      </w:tr>
      <w:tr w:rsidR="002F0651" w:rsidTr="00644E53">
        <w:tc>
          <w:tcPr>
            <w:tcW w:w="582" w:type="dxa"/>
            <w:vMerge/>
          </w:tcPr>
          <w:p w:rsidR="008C3F0E" w:rsidRDefault="008C3F0E" w:rsidP="00EE5DC2"/>
        </w:tc>
        <w:tc>
          <w:tcPr>
            <w:tcW w:w="2503" w:type="dxa"/>
            <w:vAlign w:val="center"/>
          </w:tcPr>
          <w:p w:rsidR="008C3F0E" w:rsidRPr="00644E53" w:rsidRDefault="008C3F0E" w:rsidP="00644E53">
            <w:pPr>
              <w:spacing w:line="0" w:lineRule="atLeast"/>
              <w:ind w:left="180" w:hangingChars="100" w:hanging="180"/>
              <w:rPr>
                <w:sz w:val="20"/>
                <w:szCs w:val="20"/>
                <w:u w:val="single"/>
              </w:rPr>
            </w:pPr>
            <w:r w:rsidRPr="00644E53">
              <w:rPr>
                <w:rFonts w:hint="eastAsia"/>
                <w:sz w:val="20"/>
                <w:szCs w:val="20"/>
                <w:u w:val="single"/>
              </w:rPr>
              <w:t>(4)</w:t>
            </w:r>
            <w:r w:rsidRPr="00644E53">
              <w:rPr>
                <w:rFonts w:hint="eastAsia"/>
                <w:sz w:val="20"/>
                <w:szCs w:val="20"/>
                <w:u w:val="single"/>
              </w:rPr>
              <w:t>障害の特性の理解と生活環境の調整に関すること</w:t>
            </w:r>
          </w:p>
          <w:p w:rsidR="008C3F0E" w:rsidRPr="00644E53" w:rsidRDefault="008C3F0E" w:rsidP="00644E53">
            <w:pPr>
              <w:spacing w:line="0" w:lineRule="atLeast"/>
              <w:ind w:left="180" w:hangingChars="100" w:hanging="180"/>
              <w:rPr>
                <w:sz w:val="20"/>
                <w:szCs w:val="20"/>
              </w:rPr>
            </w:pPr>
            <w:r w:rsidRPr="00644E53">
              <w:rPr>
                <w:rFonts w:hint="eastAsia"/>
                <w:sz w:val="20"/>
                <w:szCs w:val="20"/>
              </w:rPr>
              <w:t xml:space="preserve">　　　　　　　　　</w:t>
            </w:r>
          </w:p>
        </w:tc>
        <w:tc>
          <w:tcPr>
            <w:tcW w:w="7088" w:type="dxa"/>
          </w:tcPr>
          <w:p w:rsidR="008C3F0E" w:rsidRPr="00644E53" w:rsidRDefault="008C3F0E" w:rsidP="00EE5DC2">
            <w:pPr>
              <w:rPr>
                <w:sz w:val="20"/>
                <w:szCs w:val="20"/>
              </w:rPr>
            </w:pPr>
            <w:r w:rsidRPr="00644E53">
              <w:rPr>
                <w:rFonts w:hint="eastAsia"/>
                <w:sz w:val="20"/>
                <w:szCs w:val="20"/>
                <w:u w:val="single"/>
              </w:rPr>
              <w:t>自己の障害にどのような特性があるのか理解し、それらが及ぼす学習上または生活上の困難についての理解を深め、その状況に応じて、自己の行動や感情を調整したり、他者に対して主体的に働きかけたりして、より学習や生活をしやすい環境にしていくことを意味している。</w:t>
            </w:r>
            <w:r w:rsidR="00EA24DE" w:rsidRPr="00644E53">
              <w:rPr>
                <w:rFonts w:hint="eastAsia"/>
                <w:sz w:val="20"/>
                <w:szCs w:val="20"/>
              </w:rPr>
              <w:t xml:space="preserve">　</w:t>
            </w:r>
          </w:p>
        </w:tc>
      </w:tr>
      <w:tr w:rsidR="002F0651" w:rsidTr="00644E53">
        <w:tc>
          <w:tcPr>
            <w:tcW w:w="582" w:type="dxa"/>
            <w:vMerge/>
          </w:tcPr>
          <w:p w:rsidR="00513FE8" w:rsidRDefault="00513FE8" w:rsidP="00EE5DC2"/>
        </w:tc>
        <w:tc>
          <w:tcPr>
            <w:tcW w:w="2503" w:type="dxa"/>
            <w:vAlign w:val="center"/>
          </w:tcPr>
          <w:p w:rsidR="00513FE8" w:rsidRPr="00644E53" w:rsidRDefault="008C3F0E" w:rsidP="00644E53">
            <w:pPr>
              <w:spacing w:line="0" w:lineRule="atLeast"/>
              <w:ind w:left="180" w:hangingChars="100" w:hanging="180"/>
              <w:rPr>
                <w:sz w:val="20"/>
                <w:szCs w:val="20"/>
              </w:rPr>
            </w:pPr>
            <w:r w:rsidRPr="00C16EFC">
              <w:rPr>
                <w:rFonts w:hint="eastAsia"/>
                <w:sz w:val="20"/>
                <w:szCs w:val="20"/>
              </w:rPr>
              <w:t>(5</w:t>
            </w:r>
            <w:r w:rsidR="006B0A15" w:rsidRPr="00C16EFC">
              <w:rPr>
                <w:rFonts w:hint="eastAsia"/>
                <w:sz w:val="20"/>
                <w:szCs w:val="20"/>
              </w:rPr>
              <w:t>)</w:t>
            </w:r>
            <w:r w:rsidR="00513FE8" w:rsidRPr="00644E53">
              <w:rPr>
                <w:rFonts w:hint="eastAsia"/>
                <w:sz w:val="20"/>
                <w:szCs w:val="20"/>
              </w:rPr>
              <w:t>健康状態の維持・改善に関すること</w:t>
            </w:r>
          </w:p>
        </w:tc>
        <w:tc>
          <w:tcPr>
            <w:tcW w:w="7088" w:type="dxa"/>
          </w:tcPr>
          <w:p w:rsidR="00513FE8" w:rsidRPr="00644E53" w:rsidRDefault="00EA24DE" w:rsidP="00EE5DC2">
            <w:pPr>
              <w:rPr>
                <w:sz w:val="20"/>
                <w:szCs w:val="20"/>
              </w:rPr>
            </w:pPr>
            <w:r w:rsidRPr="00644E53">
              <w:rPr>
                <w:noProof/>
                <w:sz w:val="20"/>
                <w:szCs w:val="20"/>
              </w:rPr>
              <mc:AlternateContent>
                <mc:Choice Requires="wps">
                  <w:drawing>
                    <wp:anchor distT="0" distB="0" distL="114300" distR="114300" simplePos="0" relativeHeight="251662336" behindDoc="0" locked="0" layoutInCell="1" allowOverlap="1" wp14:anchorId="46E8089D" wp14:editId="4E9F48CC">
                      <wp:simplePos x="0" y="0"/>
                      <wp:positionH relativeFrom="column">
                        <wp:posOffset>-1938020</wp:posOffset>
                      </wp:positionH>
                      <wp:positionV relativeFrom="paragraph">
                        <wp:posOffset>-4271010</wp:posOffset>
                      </wp:positionV>
                      <wp:extent cx="2374265" cy="1403985"/>
                      <wp:effectExtent l="0" t="0" r="22225" b="133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EA24DE" w:rsidRDefault="00EA24DE">
                                  <w:r>
                                    <w:rPr>
                                      <w:rFonts w:hint="eastAsia"/>
                                    </w:rPr>
                                    <w:t xml:space="preserve">特新担第Ⅰ回　</w:t>
                                  </w:r>
                                  <w:r w:rsidR="0044305E">
                                    <w:rPr>
                                      <w:rFonts w:hint="eastAsia"/>
                                    </w:rPr>
                                    <w:t>講義</w:t>
                                  </w:r>
                                  <w:r w:rsidR="0044305E">
                                    <w:t>・</w:t>
                                  </w:r>
                                  <w:r w:rsidR="0044305E">
                                    <w:rPr>
                                      <w:rFonts w:hint="eastAsia"/>
                                    </w:rPr>
                                    <w:t>演習</w:t>
                                  </w:r>
                                  <w:r>
                                    <w:rPr>
                                      <w:rFonts w:hint="eastAsia"/>
                                    </w:rPr>
                                    <w:t>資料</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6E8089D" id="テキスト ボックス 2" o:spid="_x0000_s1027" type="#_x0000_t202" style="position:absolute;left:0;text-align:left;margin-left:-152.6pt;margin-top:-336.3pt;width:186.95pt;height:110.55pt;z-index:25166233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">
                      <v:textbox style="mso-fit-shape-to-text:t">
                        <w:txbxContent>
                          <w:p w:rsidR="00EA24DE" w:rsidRDefault="00EA24DE">
                            <w:r>
                              <w:rPr>
                                <w:rFonts w:hint="eastAsia"/>
                              </w:rPr>
                              <w:t xml:space="preserve">特新担第Ⅰ回　</w:t>
                            </w:r>
                            <w:r w:rsidR="0044305E">
                              <w:rPr>
                                <w:rFonts w:hint="eastAsia"/>
                              </w:rPr>
                              <w:t>講義</w:t>
                            </w:r>
                            <w:r w:rsidR="0044305E">
                              <w:t>・</w:t>
                            </w:r>
                            <w:r w:rsidR="0044305E">
                              <w:rPr>
                                <w:rFonts w:hint="eastAsia"/>
                              </w:rPr>
                              <w:t>演習</w:t>
                            </w:r>
                            <w:r>
                              <w:rPr>
                                <w:rFonts w:hint="eastAsia"/>
                              </w:rPr>
                              <w:t>資料</w:t>
                            </w:r>
                          </w:p>
                        </w:txbxContent>
                      </v:textbox>
                    </v:shape>
                  </w:pict>
                </mc:Fallback>
              </mc:AlternateContent>
            </w:r>
            <w:r w:rsidR="00C16EFC">
              <w:rPr>
                <w:rFonts w:hint="eastAsia"/>
                <w:sz w:val="20"/>
                <w:szCs w:val="20"/>
              </w:rPr>
              <w:t>障害のため</w:t>
            </w:r>
            <w:r w:rsidR="00AA0689" w:rsidRPr="00644E53">
              <w:rPr>
                <w:rFonts w:hint="eastAsia"/>
                <w:sz w:val="20"/>
                <w:szCs w:val="20"/>
              </w:rPr>
              <w:t>、運動量が少なくなったり、体力が低下したりすることを防ぐために、日常生活における適切な健康の自己管理ができるようにする</w:t>
            </w:r>
            <w:r w:rsidR="008C3F0E" w:rsidRPr="00644E53">
              <w:rPr>
                <w:rFonts w:hint="eastAsia"/>
                <w:sz w:val="20"/>
                <w:szCs w:val="20"/>
              </w:rPr>
              <w:t>ことを意味している</w:t>
            </w:r>
            <w:r w:rsidR="00AA0689" w:rsidRPr="00644E53">
              <w:rPr>
                <w:rFonts w:hint="eastAsia"/>
                <w:sz w:val="20"/>
                <w:szCs w:val="20"/>
              </w:rPr>
              <w:t>。</w:t>
            </w:r>
            <w:r w:rsidR="008C3F0E" w:rsidRPr="00644E53">
              <w:rPr>
                <w:rFonts w:hint="eastAsia"/>
                <w:sz w:val="20"/>
                <w:szCs w:val="20"/>
              </w:rPr>
              <w:t xml:space="preserve">　　　　　　　　　　　　　　</w:t>
            </w:r>
          </w:p>
        </w:tc>
      </w:tr>
      <w:tr w:rsidR="002F0651" w:rsidTr="00644E53">
        <w:tc>
          <w:tcPr>
            <w:tcW w:w="582" w:type="dxa"/>
            <w:vMerge w:val="restart"/>
            <w:textDirection w:val="tbRlV"/>
            <w:vAlign w:val="center"/>
          </w:tcPr>
          <w:p w:rsidR="00513FE8" w:rsidRDefault="00513FE8" w:rsidP="00EE76D3">
            <w:pPr>
              <w:ind w:left="113" w:right="113"/>
              <w:jc w:val="center"/>
            </w:pPr>
            <w:r>
              <w:rPr>
                <w:rFonts w:hint="eastAsia"/>
              </w:rPr>
              <w:t>心理的な安定</w:t>
            </w:r>
          </w:p>
        </w:tc>
        <w:tc>
          <w:tcPr>
            <w:tcW w:w="2503" w:type="dxa"/>
            <w:vAlign w:val="center"/>
          </w:tcPr>
          <w:p w:rsidR="00513FE8" w:rsidRPr="00644E53" w:rsidRDefault="006B0A15" w:rsidP="00644E53">
            <w:pPr>
              <w:spacing w:line="0" w:lineRule="atLeast"/>
              <w:ind w:left="180" w:hangingChars="100" w:hanging="180"/>
              <w:rPr>
                <w:sz w:val="20"/>
                <w:szCs w:val="20"/>
              </w:rPr>
            </w:pPr>
            <w:r w:rsidRPr="00644E53">
              <w:rPr>
                <w:rFonts w:hint="eastAsia"/>
                <w:sz w:val="20"/>
                <w:szCs w:val="20"/>
              </w:rPr>
              <w:t>(1)</w:t>
            </w:r>
            <w:r w:rsidR="00513FE8" w:rsidRPr="00644E53">
              <w:rPr>
                <w:rFonts w:hint="eastAsia"/>
                <w:sz w:val="20"/>
                <w:szCs w:val="20"/>
              </w:rPr>
              <w:t>情緒の安定に関すること</w:t>
            </w:r>
          </w:p>
        </w:tc>
        <w:tc>
          <w:tcPr>
            <w:tcW w:w="7088" w:type="dxa"/>
          </w:tcPr>
          <w:p w:rsidR="00644E53" w:rsidRPr="00644E53" w:rsidRDefault="00AA0689" w:rsidP="00EE5DC2">
            <w:pPr>
              <w:rPr>
                <w:sz w:val="20"/>
                <w:szCs w:val="20"/>
              </w:rPr>
            </w:pPr>
            <w:r w:rsidRPr="00644E53">
              <w:rPr>
                <w:rFonts w:hint="eastAsia"/>
                <w:sz w:val="20"/>
                <w:szCs w:val="20"/>
              </w:rPr>
              <w:t>情緒の安定を図ることが困難な幼児児童生徒が、安定した情緒の下で生活できるようにする</w:t>
            </w:r>
            <w:r w:rsidR="008C3F0E" w:rsidRPr="00644E53">
              <w:rPr>
                <w:rFonts w:hint="eastAsia"/>
                <w:sz w:val="20"/>
                <w:szCs w:val="20"/>
              </w:rPr>
              <w:t>ことを意味している</w:t>
            </w:r>
            <w:r w:rsidRPr="00644E53">
              <w:rPr>
                <w:rFonts w:hint="eastAsia"/>
                <w:sz w:val="20"/>
                <w:szCs w:val="20"/>
              </w:rPr>
              <w:t>。</w:t>
            </w:r>
          </w:p>
        </w:tc>
      </w:tr>
      <w:tr w:rsidR="002F0651" w:rsidTr="00644E53">
        <w:tc>
          <w:tcPr>
            <w:tcW w:w="582" w:type="dxa"/>
            <w:vMerge/>
          </w:tcPr>
          <w:p w:rsidR="00513FE8" w:rsidRDefault="00513FE8" w:rsidP="00EE5DC2"/>
        </w:tc>
        <w:tc>
          <w:tcPr>
            <w:tcW w:w="2503" w:type="dxa"/>
            <w:vAlign w:val="center"/>
          </w:tcPr>
          <w:p w:rsidR="00513FE8" w:rsidRPr="00644E53" w:rsidRDefault="006B0A15" w:rsidP="00644E53">
            <w:pPr>
              <w:spacing w:line="0" w:lineRule="atLeast"/>
              <w:ind w:left="180" w:hangingChars="100" w:hanging="180"/>
              <w:rPr>
                <w:sz w:val="20"/>
                <w:szCs w:val="20"/>
              </w:rPr>
            </w:pPr>
            <w:r w:rsidRPr="00644E53">
              <w:rPr>
                <w:rFonts w:hint="eastAsia"/>
                <w:sz w:val="20"/>
                <w:szCs w:val="20"/>
              </w:rPr>
              <w:t>(2)</w:t>
            </w:r>
            <w:r w:rsidR="00513FE8" w:rsidRPr="00644E53">
              <w:rPr>
                <w:rFonts w:hint="eastAsia"/>
                <w:sz w:val="20"/>
                <w:szCs w:val="20"/>
              </w:rPr>
              <w:t>状況の理解と変化への対応に関すること</w:t>
            </w:r>
          </w:p>
        </w:tc>
        <w:tc>
          <w:tcPr>
            <w:tcW w:w="7088" w:type="dxa"/>
          </w:tcPr>
          <w:p w:rsidR="00644E53" w:rsidRPr="00644E53" w:rsidRDefault="00AA0689" w:rsidP="00EE5DC2">
            <w:pPr>
              <w:rPr>
                <w:sz w:val="20"/>
                <w:szCs w:val="20"/>
              </w:rPr>
            </w:pPr>
            <w:r w:rsidRPr="00644E53">
              <w:rPr>
                <w:rFonts w:hint="eastAsia"/>
                <w:sz w:val="20"/>
                <w:szCs w:val="20"/>
              </w:rPr>
              <w:t>場所や場面の状況を理解して心理的抵抗を軽減したり、変化する状況を</w:t>
            </w:r>
            <w:r w:rsidR="002911D5" w:rsidRPr="00644E53">
              <w:rPr>
                <w:rFonts w:hint="eastAsia"/>
                <w:sz w:val="20"/>
                <w:szCs w:val="20"/>
              </w:rPr>
              <w:t>理解して適切に対応したりするなど、行動の仕方を身に付ける</w:t>
            </w:r>
            <w:r w:rsidR="008C3F0E" w:rsidRPr="00644E53">
              <w:rPr>
                <w:rFonts w:hint="eastAsia"/>
                <w:sz w:val="20"/>
                <w:szCs w:val="20"/>
              </w:rPr>
              <w:t>ことを意味している</w:t>
            </w:r>
            <w:r w:rsidR="002911D5" w:rsidRPr="00644E53">
              <w:rPr>
                <w:rFonts w:hint="eastAsia"/>
                <w:sz w:val="20"/>
                <w:szCs w:val="20"/>
              </w:rPr>
              <w:t>。</w:t>
            </w:r>
          </w:p>
        </w:tc>
      </w:tr>
      <w:tr w:rsidR="002F0651" w:rsidTr="00644E53">
        <w:tc>
          <w:tcPr>
            <w:tcW w:w="582" w:type="dxa"/>
            <w:vMerge/>
          </w:tcPr>
          <w:p w:rsidR="00513FE8" w:rsidRDefault="00513FE8" w:rsidP="00EE5DC2"/>
        </w:tc>
        <w:tc>
          <w:tcPr>
            <w:tcW w:w="2503" w:type="dxa"/>
            <w:vAlign w:val="center"/>
          </w:tcPr>
          <w:p w:rsidR="00513FE8" w:rsidRPr="00644E53" w:rsidRDefault="006B0A15" w:rsidP="00644E53">
            <w:pPr>
              <w:spacing w:line="0" w:lineRule="atLeast"/>
              <w:ind w:left="180" w:hangingChars="100" w:hanging="180"/>
              <w:rPr>
                <w:sz w:val="20"/>
                <w:szCs w:val="20"/>
              </w:rPr>
            </w:pPr>
            <w:r w:rsidRPr="00644E53">
              <w:rPr>
                <w:rFonts w:hint="eastAsia"/>
                <w:sz w:val="20"/>
                <w:szCs w:val="20"/>
              </w:rPr>
              <w:t>(3)</w:t>
            </w:r>
            <w:r w:rsidR="00513FE8" w:rsidRPr="00644E53">
              <w:rPr>
                <w:rFonts w:hint="eastAsia"/>
                <w:sz w:val="20"/>
                <w:szCs w:val="20"/>
              </w:rPr>
              <w:t>障害による学習上又は生活上の困難を改善・克服する意欲に関すること</w:t>
            </w:r>
          </w:p>
        </w:tc>
        <w:tc>
          <w:tcPr>
            <w:tcW w:w="7088" w:type="dxa"/>
          </w:tcPr>
          <w:p w:rsidR="00644E53" w:rsidRPr="00644E53" w:rsidRDefault="002911D5" w:rsidP="00EE5DC2">
            <w:pPr>
              <w:rPr>
                <w:sz w:val="20"/>
                <w:szCs w:val="20"/>
              </w:rPr>
            </w:pPr>
            <w:r w:rsidRPr="00644E53">
              <w:rPr>
                <w:rFonts w:hint="eastAsia"/>
                <w:sz w:val="20"/>
                <w:szCs w:val="20"/>
              </w:rPr>
              <w:t>自分の障害の状態を理解したり、受容したりして、積極的に障害による学習上又は生活上の困難さを改善・克服しようとする意欲の向上を図る</w:t>
            </w:r>
            <w:r w:rsidR="008C3F0E" w:rsidRPr="00644E53">
              <w:rPr>
                <w:rFonts w:hint="eastAsia"/>
                <w:sz w:val="20"/>
                <w:szCs w:val="20"/>
              </w:rPr>
              <w:t>ことを意味している</w:t>
            </w:r>
            <w:r w:rsidRPr="00644E53">
              <w:rPr>
                <w:rFonts w:hint="eastAsia"/>
                <w:sz w:val="20"/>
                <w:szCs w:val="20"/>
              </w:rPr>
              <w:t>。</w:t>
            </w:r>
          </w:p>
        </w:tc>
      </w:tr>
      <w:tr w:rsidR="002F0651" w:rsidTr="00644E53">
        <w:tc>
          <w:tcPr>
            <w:tcW w:w="582" w:type="dxa"/>
            <w:vMerge w:val="restart"/>
            <w:textDirection w:val="tbRlV"/>
            <w:vAlign w:val="center"/>
          </w:tcPr>
          <w:p w:rsidR="00513FE8" w:rsidRDefault="00513FE8" w:rsidP="00EE5DC2">
            <w:pPr>
              <w:ind w:left="113" w:right="113"/>
              <w:jc w:val="center"/>
            </w:pPr>
            <w:r>
              <w:rPr>
                <w:rFonts w:hint="eastAsia"/>
              </w:rPr>
              <w:t>人間関係の形成</w:t>
            </w:r>
          </w:p>
        </w:tc>
        <w:tc>
          <w:tcPr>
            <w:tcW w:w="2503" w:type="dxa"/>
            <w:vAlign w:val="center"/>
          </w:tcPr>
          <w:p w:rsidR="00513FE8" w:rsidRPr="00644E53" w:rsidRDefault="006B0A15" w:rsidP="00644E53">
            <w:pPr>
              <w:spacing w:line="0" w:lineRule="atLeast"/>
              <w:ind w:left="180" w:hangingChars="100" w:hanging="180"/>
              <w:rPr>
                <w:sz w:val="20"/>
                <w:szCs w:val="20"/>
              </w:rPr>
            </w:pPr>
            <w:r w:rsidRPr="00644E53">
              <w:rPr>
                <w:rFonts w:hint="eastAsia"/>
                <w:sz w:val="20"/>
                <w:szCs w:val="20"/>
              </w:rPr>
              <w:t>(1)</w:t>
            </w:r>
            <w:r w:rsidR="00513FE8" w:rsidRPr="00644E53">
              <w:rPr>
                <w:rFonts w:hint="eastAsia"/>
                <w:sz w:val="20"/>
                <w:szCs w:val="20"/>
              </w:rPr>
              <w:t>他者との関わりの基礎に関すること</w:t>
            </w:r>
          </w:p>
        </w:tc>
        <w:tc>
          <w:tcPr>
            <w:tcW w:w="7088" w:type="dxa"/>
          </w:tcPr>
          <w:p w:rsidR="00644E53" w:rsidRPr="00644E53" w:rsidRDefault="002911D5" w:rsidP="00EE5DC2">
            <w:pPr>
              <w:rPr>
                <w:sz w:val="20"/>
                <w:szCs w:val="20"/>
              </w:rPr>
            </w:pPr>
            <w:r w:rsidRPr="00644E53">
              <w:rPr>
                <w:rFonts w:hint="eastAsia"/>
                <w:sz w:val="20"/>
                <w:szCs w:val="20"/>
              </w:rPr>
              <w:t>人に対する基本的な信頼感をもち、他者からの働き掛けを受け止め、それに応ずることができるようにする</w:t>
            </w:r>
            <w:r w:rsidR="008C3F0E" w:rsidRPr="00644E53">
              <w:rPr>
                <w:rFonts w:hint="eastAsia"/>
                <w:sz w:val="20"/>
                <w:szCs w:val="20"/>
              </w:rPr>
              <w:t>ことを意味している</w:t>
            </w:r>
            <w:r w:rsidRPr="00644E53">
              <w:rPr>
                <w:rFonts w:hint="eastAsia"/>
                <w:sz w:val="20"/>
                <w:szCs w:val="20"/>
              </w:rPr>
              <w:t>。</w:t>
            </w:r>
          </w:p>
        </w:tc>
      </w:tr>
      <w:tr w:rsidR="002F0651" w:rsidTr="00644E53">
        <w:tc>
          <w:tcPr>
            <w:tcW w:w="582" w:type="dxa"/>
            <w:vMerge/>
          </w:tcPr>
          <w:p w:rsidR="00513FE8" w:rsidRDefault="00513FE8" w:rsidP="00EE5DC2"/>
        </w:tc>
        <w:tc>
          <w:tcPr>
            <w:tcW w:w="2503" w:type="dxa"/>
            <w:vAlign w:val="center"/>
          </w:tcPr>
          <w:p w:rsidR="00513FE8" w:rsidRPr="00644E53" w:rsidRDefault="006B0A15" w:rsidP="00644E53">
            <w:pPr>
              <w:spacing w:line="0" w:lineRule="atLeast"/>
              <w:ind w:left="180" w:hangingChars="100" w:hanging="180"/>
              <w:rPr>
                <w:sz w:val="20"/>
                <w:szCs w:val="20"/>
              </w:rPr>
            </w:pPr>
            <w:r w:rsidRPr="00644E53">
              <w:rPr>
                <w:rFonts w:hint="eastAsia"/>
                <w:sz w:val="20"/>
                <w:szCs w:val="20"/>
              </w:rPr>
              <w:t>(2)</w:t>
            </w:r>
            <w:r w:rsidR="00513FE8" w:rsidRPr="00644E53">
              <w:rPr>
                <w:rFonts w:hint="eastAsia"/>
                <w:sz w:val="20"/>
                <w:szCs w:val="20"/>
              </w:rPr>
              <w:t>他者の意図や感情の理解に関すること</w:t>
            </w:r>
          </w:p>
        </w:tc>
        <w:tc>
          <w:tcPr>
            <w:tcW w:w="7088" w:type="dxa"/>
          </w:tcPr>
          <w:p w:rsidR="00EA24DE" w:rsidRPr="00644E53" w:rsidRDefault="002911D5" w:rsidP="00EE5DC2">
            <w:pPr>
              <w:rPr>
                <w:sz w:val="20"/>
                <w:szCs w:val="20"/>
              </w:rPr>
            </w:pPr>
            <w:r w:rsidRPr="00644E53">
              <w:rPr>
                <w:rFonts w:hint="eastAsia"/>
                <w:sz w:val="20"/>
                <w:szCs w:val="20"/>
              </w:rPr>
              <w:t>他者の意図や感情を理解し、場に応じた適切な行動をとることができるようにする</w:t>
            </w:r>
            <w:r w:rsidR="008C3F0E" w:rsidRPr="00644E53">
              <w:rPr>
                <w:rFonts w:hint="eastAsia"/>
                <w:sz w:val="20"/>
                <w:szCs w:val="20"/>
              </w:rPr>
              <w:t>ことを意味している</w:t>
            </w:r>
            <w:r w:rsidRPr="00644E53">
              <w:rPr>
                <w:rFonts w:hint="eastAsia"/>
                <w:sz w:val="20"/>
                <w:szCs w:val="20"/>
              </w:rPr>
              <w:t>。</w:t>
            </w:r>
          </w:p>
        </w:tc>
      </w:tr>
      <w:tr w:rsidR="002F0651" w:rsidTr="00644E53">
        <w:tc>
          <w:tcPr>
            <w:tcW w:w="582" w:type="dxa"/>
            <w:vMerge/>
          </w:tcPr>
          <w:p w:rsidR="00513FE8" w:rsidRDefault="00513FE8" w:rsidP="00EE5DC2"/>
        </w:tc>
        <w:tc>
          <w:tcPr>
            <w:tcW w:w="2503" w:type="dxa"/>
            <w:vAlign w:val="center"/>
          </w:tcPr>
          <w:p w:rsidR="00513FE8" w:rsidRPr="00644E53" w:rsidRDefault="006B0A15" w:rsidP="00644E53">
            <w:pPr>
              <w:spacing w:line="0" w:lineRule="atLeast"/>
              <w:ind w:left="180" w:hangingChars="100" w:hanging="180"/>
              <w:rPr>
                <w:sz w:val="20"/>
                <w:szCs w:val="20"/>
              </w:rPr>
            </w:pPr>
            <w:r w:rsidRPr="00644E53">
              <w:rPr>
                <w:rFonts w:hint="eastAsia"/>
                <w:sz w:val="20"/>
                <w:szCs w:val="20"/>
              </w:rPr>
              <w:t>(3)</w:t>
            </w:r>
            <w:r w:rsidR="00513FE8" w:rsidRPr="00644E53">
              <w:rPr>
                <w:rFonts w:hint="eastAsia"/>
                <w:sz w:val="20"/>
                <w:szCs w:val="20"/>
              </w:rPr>
              <w:t>自己の理解と行動の調整に関すること</w:t>
            </w:r>
          </w:p>
        </w:tc>
        <w:tc>
          <w:tcPr>
            <w:tcW w:w="7088" w:type="dxa"/>
          </w:tcPr>
          <w:p w:rsidR="00EA24DE" w:rsidRPr="00644E53" w:rsidRDefault="002911D5" w:rsidP="00EE5DC2">
            <w:pPr>
              <w:rPr>
                <w:sz w:val="20"/>
                <w:szCs w:val="20"/>
              </w:rPr>
            </w:pPr>
            <w:r w:rsidRPr="00644E53">
              <w:rPr>
                <w:rFonts w:hint="eastAsia"/>
                <w:sz w:val="20"/>
                <w:szCs w:val="20"/>
              </w:rPr>
              <w:t>自分の得意なことや不得意なこと、自分の行動の特徴など</w:t>
            </w:r>
            <w:r w:rsidR="00A53903" w:rsidRPr="00644E53">
              <w:rPr>
                <w:rFonts w:hint="eastAsia"/>
                <w:sz w:val="20"/>
                <w:szCs w:val="20"/>
              </w:rPr>
              <w:t>を</w:t>
            </w:r>
            <w:r w:rsidRPr="00644E53">
              <w:rPr>
                <w:rFonts w:hint="eastAsia"/>
                <w:sz w:val="20"/>
                <w:szCs w:val="20"/>
              </w:rPr>
              <w:t>理解し、集団の中で状況に応じた行動ができるようになる</w:t>
            </w:r>
            <w:r w:rsidR="008C3F0E" w:rsidRPr="00644E53">
              <w:rPr>
                <w:rFonts w:hint="eastAsia"/>
                <w:sz w:val="20"/>
                <w:szCs w:val="20"/>
              </w:rPr>
              <w:t>ことを意味している</w:t>
            </w:r>
            <w:r w:rsidRPr="00644E53">
              <w:rPr>
                <w:rFonts w:hint="eastAsia"/>
                <w:sz w:val="20"/>
                <w:szCs w:val="20"/>
              </w:rPr>
              <w:t>。</w:t>
            </w:r>
          </w:p>
        </w:tc>
      </w:tr>
      <w:tr w:rsidR="002F0651" w:rsidTr="00644E53">
        <w:tc>
          <w:tcPr>
            <w:tcW w:w="582" w:type="dxa"/>
            <w:vMerge/>
          </w:tcPr>
          <w:p w:rsidR="00513FE8" w:rsidRDefault="00513FE8" w:rsidP="00EE5DC2"/>
        </w:tc>
        <w:tc>
          <w:tcPr>
            <w:tcW w:w="2503" w:type="dxa"/>
            <w:vAlign w:val="center"/>
          </w:tcPr>
          <w:p w:rsidR="00513FE8" w:rsidRPr="00644E53" w:rsidRDefault="006B0A15" w:rsidP="00644E53">
            <w:pPr>
              <w:spacing w:line="0" w:lineRule="atLeast"/>
              <w:ind w:left="180" w:hangingChars="100" w:hanging="180"/>
              <w:rPr>
                <w:sz w:val="20"/>
                <w:szCs w:val="20"/>
              </w:rPr>
            </w:pPr>
            <w:r w:rsidRPr="00644E53">
              <w:rPr>
                <w:rFonts w:hint="eastAsia"/>
                <w:sz w:val="20"/>
                <w:szCs w:val="20"/>
              </w:rPr>
              <w:t>(4)</w:t>
            </w:r>
            <w:r w:rsidR="00513FE8" w:rsidRPr="00644E53">
              <w:rPr>
                <w:rFonts w:hint="eastAsia"/>
                <w:sz w:val="20"/>
                <w:szCs w:val="20"/>
              </w:rPr>
              <w:t>集団への参加の基礎に関すること</w:t>
            </w:r>
          </w:p>
        </w:tc>
        <w:tc>
          <w:tcPr>
            <w:tcW w:w="7088" w:type="dxa"/>
          </w:tcPr>
          <w:p w:rsidR="00644E53" w:rsidRPr="00644E53" w:rsidRDefault="002911D5" w:rsidP="00A53903">
            <w:pPr>
              <w:rPr>
                <w:sz w:val="20"/>
                <w:szCs w:val="20"/>
              </w:rPr>
            </w:pPr>
            <w:r w:rsidRPr="00644E53">
              <w:rPr>
                <w:rFonts w:hint="eastAsia"/>
                <w:sz w:val="20"/>
                <w:szCs w:val="20"/>
              </w:rPr>
              <w:t>集団の雰囲気に合わせたり、集団に参加するための手順や</w:t>
            </w:r>
            <w:r w:rsidR="00A53903" w:rsidRPr="00644E53">
              <w:rPr>
                <w:rFonts w:hint="eastAsia"/>
                <w:sz w:val="20"/>
                <w:szCs w:val="20"/>
              </w:rPr>
              <w:t>決まり</w:t>
            </w:r>
            <w:r w:rsidRPr="00644E53">
              <w:rPr>
                <w:rFonts w:hint="eastAsia"/>
                <w:sz w:val="20"/>
                <w:szCs w:val="20"/>
              </w:rPr>
              <w:t>を理解したりして、遊びや集団</w:t>
            </w:r>
            <w:r w:rsidR="00C16EFC">
              <w:rPr>
                <w:rFonts w:hint="eastAsia"/>
                <w:sz w:val="20"/>
                <w:szCs w:val="20"/>
              </w:rPr>
              <w:t>活動</w:t>
            </w:r>
            <w:r w:rsidRPr="00644E53">
              <w:rPr>
                <w:rFonts w:hint="eastAsia"/>
                <w:sz w:val="20"/>
                <w:szCs w:val="20"/>
              </w:rPr>
              <w:t>などに積極的に参加できるようになる</w:t>
            </w:r>
            <w:r w:rsidR="008C3F0E" w:rsidRPr="00644E53">
              <w:rPr>
                <w:rFonts w:hint="eastAsia"/>
                <w:sz w:val="20"/>
                <w:szCs w:val="20"/>
              </w:rPr>
              <w:t>ことを意味している</w:t>
            </w:r>
            <w:r w:rsidRPr="00644E53">
              <w:rPr>
                <w:rFonts w:hint="eastAsia"/>
                <w:sz w:val="20"/>
                <w:szCs w:val="20"/>
              </w:rPr>
              <w:t>。</w:t>
            </w:r>
          </w:p>
        </w:tc>
      </w:tr>
      <w:tr w:rsidR="002F0651" w:rsidTr="00644E53">
        <w:tc>
          <w:tcPr>
            <w:tcW w:w="582" w:type="dxa"/>
            <w:vMerge w:val="restart"/>
            <w:textDirection w:val="tbRlV"/>
            <w:vAlign w:val="center"/>
          </w:tcPr>
          <w:p w:rsidR="002911D5" w:rsidRDefault="002911D5" w:rsidP="00EE5DC2">
            <w:pPr>
              <w:ind w:left="113" w:right="113"/>
              <w:jc w:val="center"/>
            </w:pPr>
            <w:r>
              <w:rPr>
                <w:rFonts w:hint="eastAsia"/>
              </w:rPr>
              <w:t>環　境　の　把　握</w:t>
            </w:r>
          </w:p>
        </w:tc>
        <w:tc>
          <w:tcPr>
            <w:tcW w:w="2503" w:type="dxa"/>
            <w:vAlign w:val="center"/>
          </w:tcPr>
          <w:p w:rsidR="002911D5" w:rsidRPr="00644E53" w:rsidRDefault="006B0A15" w:rsidP="00644E53">
            <w:pPr>
              <w:spacing w:line="0" w:lineRule="atLeast"/>
              <w:ind w:left="180" w:hangingChars="100" w:hanging="180"/>
              <w:rPr>
                <w:sz w:val="20"/>
                <w:szCs w:val="20"/>
              </w:rPr>
            </w:pPr>
            <w:r w:rsidRPr="00644E53">
              <w:rPr>
                <w:rFonts w:hint="eastAsia"/>
                <w:sz w:val="20"/>
                <w:szCs w:val="20"/>
              </w:rPr>
              <w:t>(1)</w:t>
            </w:r>
            <w:r w:rsidR="002911D5" w:rsidRPr="00644E53">
              <w:rPr>
                <w:rFonts w:hint="eastAsia"/>
                <w:sz w:val="20"/>
                <w:szCs w:val="20"/>
              </w:rPr>
              <w:t>保有する感覚の活用に関すること</w:t>
            </w:r>
          </w:p>
        </w:tc>
        <w:tc>
          <w:tcPr>
            <w:tcW w:w="7088" w:type="dxa"/>
          </w:tcPr>
          <w:p w:rsidR="002911D5" w:rsidRPr="00644E53" w:rsidRDefault="002911D5" w:rsidP="005C3C21">
            <w:pPr>
              <w:rPr>
                <w:sz w:val="20"/>
                <w:szCs w:val="20"/>
              </w:rPr>
            </w:pPr>
            <w:r w:rsidRPr="00644E53">
              <w:rPr>
                <w:rFonts w:hint="eastAsia"/>
                <w:sz w:val="20"/>
                <w:szCs w:val="20"/>
              </w:rPr>
              <w:t>保有する視覚、聴覚、触覚</w:t>
            </w:r>
            <w:r w:rsidR="00C16EFC">
              <w:rPr>
                <w:rFonts w:hint="eastAsia"/>
                <w:sz w:val="20"/>
                <w:szCs w:val="20"/>
              </w:rPr>
              <w:t>、</w:t>
            </w:r>
            <w:r w:rsidR="005C3C21" w:rsidRPr="00B13521">
              <w:rPr>
                <w:rFonts w:hint="eastAsia"/>
                <w:sz w:val="20"/>
                <w:szCs w:val="20"/>
              </w:rPr>
              <w:t>嗅</w:t>
            </w:r>
            <w:r w:rsidR="00C16EFC" w:rsidRPr="00B13521">
              <w:rPr>
                <w:rFonts w:hint="eastAsia"/>
                <w:sz w:val="20"/>
                <w:szCs w:val="20"/>
              </w:rPr>
              <w:t>覚、固有覚、前庭覚</w:t>
            </w:r>
            <w:r w:rsidRPr="00644E53">
              <w:rPr>
                <w:rFonts w:hint="eastAsia"/>
                <w:sz w:val="20"/>
                <w:szCs w:val="20"/>
              </w:rPr>
              <w:t>などの感覚を十分に活用できるようにする</w:t>
            </w:r>
            <w:r w:rsidR="008C3F0E" w:rsidRPr="00644E53">
              <w:rPr>
                <w:rFonts w:hint="eastAsia"/>
                <w:sz w:val="20"/>
                <w:szCs w:val="20"/>
              </w:rPr>
              <w:t>ことを意味している</w:t>
            </w:r>
            <w:r w:rsidRPr="00644E53">
              <w:rPr>
                <w:rFonts w:hint="eastAsia"/>
                <w:sz w:val="20"/>
                <w:szCs w:val="20"/>
              </w:rPr>
              <w:t>。</w:t>
            </w:r>
          </w:p>
        </w:tc>
      </w:tr>
      <w:tr w:rsidR="002F0651" w:rsidTr="00644E53">
        <w:tc>
          <w:tcPr>
            <w:tcW w:w="582" w:type="dxa"/>
            <w:vMerge/>
          </w:tcPr>
          <w:p w:rsidR="002911D5" w:rsidRDefault="002911D5" w:rsidP="00EE5DC2"/>
        </w:tc>
        <w:tc>
          <w:tcPr>
            <w:tcW w:w="2503" w:type="dxa"/>
            <w:vAlign w:val="center"/>
          </w:tcPr>
          <w:p w:rsidR="002911D5" w:rsidRPr="00644E53" w:rsidRDefault="006B0A15" w:rsidP="00644E53">
            <w:pPr>
              <w:spacing w:line="0" w:lineRule="atLeast"/>
              <w:ind w:left="180" w:hangingChars="100" w:hanging="180"/>
              <w:rPr>
                <w:sz w:val="20"/>
                <w:szCs w:val="20"/>
              </w:rPr>
            </w:pPr>
            <w:r w:rsidRPr="00644E53">
              <w:rPr>
                <w:rFonts w:hint="eastAsia"/>
                <w:sz w:val="20"/>
                <w:szCs w:val="20"/>
              </w:rPr>
              <w:t>(2)</w:t>
            </w:r>
            <w:r w:rsidR="002911D5" w:rsidRPr="00644E53">
              <w:rPr>
                <w:rFonts w:hint="eastAsia"/>
                <w:sz w:val="20"/>
                <w:szCs w:val="20"/>
              </w:rPr>
              <w:t>感覚や認知の特性</w:t>
            </w:r>
            <w:r w:rsidR="00C16EFC" w:rsidRPr="00C16EFC">
              <w:rPr>
                <w:rFonts w:hint="eastAsia"/>
                <w:sz w:val="20"/>
                <w:szCs w:val="20"/>
                <w:u w:val="single"/>
              </w:rPr>
              <w:t>についての理解と</w:t>
            </w:r>
            <w:r w:rsidR="002911D5" w:rsidRPr="00644E53">
              <w:rPr>
                <w:rFonts w:hint="eastAsia"/>
                <w:sz w:val="20"/>
                <w:szCs w:val="20"/>
              </w:rPr>
              <w:t>対応に関すること</w:t>
            </w:r>
          </w:p>
        </w:tc>
        <w:tc>
          <w:tcPr>
            <w:tcW w:w="7088" w:type="dxa"/>
          </w:tcPr>
          <w:p w:rsidR="002911D5" w:rsidRPr="00644E53" w:rsidRDefault="002911D5" w:rsidP="00A53903">
            <w:pPr>
              <w:rPr>
                <w:sz w:val="20"/>
                <w:szCs w:val="20"/>
              </w:rPr>
            </w:pPr>
            <w:r w:rsidRPr="00644E53">
              <w:rPr>
                <w:rFonts w:hint="eastAsia"/>
                <w:sz w:val="20"/>
                <w:szCs w:val="20"/>
              </w:rPr>
              <w:t>障害</w:t>
            </w:r>
            <w:r w:rsidR="00A53903" w:rsidRPr="00644E53">
              <w:rPr>
                <w:rFonts w:hint="eastAsia"/>
                <w:sz w:val="20"/>
                <w:szCs w:val="20"/>
              </w:rPr>
              <w:t>の</w:t>
            </w:r>
            <w:r w:rsidRPr="00644E53">
              <w:rPr>
                <w:rFonts w:hint="eastAsia"/>
                <w:sz w:val="20"/>
                <w:szCs w:val="20"/>
              </w:rPr>
              <w:t>ある幼児児童生徒一人一人の感覚や認知の特性を踏まえ、自分に入ってくる情報を適切に処理できるようにするとともに、特に</w:t>
            </w:r>
            <w:r w:rsidR="00C16EFC">
              <w:rPr>
                <w:rFonts w:hint="eastAsia"/>
                <w:sz w:val="20"/>
                <w:szCs w:val="20"/>
              </w:rPr>
              <w:t>自己の感覚の過敏さや認知の偏りなど</w:t>
            </w:r>
            <w:r w:rsidRPr="00644E53">
              <w:rPr>
                <w:rFonts w:hint="eastAsia"/>
                <w:sz w:val="20"/>
                <w:szCs w:val="20"/>
              </w:rPr>
              <w:t>の特性</w:t>
            </w:r>
            <w:r w:rsidRPr="00C16EFC">
              <w:rPr>
                <w:rFonts w:hint="eastAsia"/>
                <w:sz w:val="20"/>
                <w:szCs w:val="20"/>
                <w:u w:val="single"/>
              </w:rPr>
              <w:t>に</w:t>
            </w:r>
            <w:r w:rsidR="00C16EFC" w:rsidRPr="00C16EFC">
              <w:rPr>
                <w:rFonts w:hint="eastAsia"/>
                <w:sz w:val="20"/>
                <w:szCs w:val="20"/>
                <w:u w:val="single"/>
              </w:rPr>
              <w:t>ついて理解し</w:t>
            </w:r>
            <w:r w:rsidR="00C16EFC" w:rsidRPr="00C16EFC">
              <w:rPr>
                <w:rFonts w:hint="eastAsia"/>
                <w:sz w:val="20"/>
                <w:szCs w:val="20"/>
              </w:rPr>
              <w:t>、</w:t>
            </w:r>
            <w:r w:rsidRPr="00644E53">
              <w:rPr>
                <w:rFonts w:hint="eastAsia"/>
                <w:sz w:val="20"/>
                <w:szCs w:val="20"/>
              </w:rPr>
              <w:t>適切に対応できるようにする</w:t>
            </w:r>
            <w:r w:rsidR="008C3F0E" w:rsidRPr="00644E53">
              <w:rPr>
                <w:rFonts w:hint="eastAsia"/>
                <w:sz w:val="20"/>
                <w:szCs w:val="20"/>
              </w:rPr>
              <w:t>ことを意味している</w:t>
            </w:r>
            <w:r w:rsidRPr="00644E53">
              <w:rPr>
                <w:rFonts w:hint="eastAsia"/>
                <w:sz w:val="20"/>
                <w:szCs w:val="20"/>
              </w:rPr>
              <w:t>。</w:t>
            </w:r>
          </w:p>
        </w:tc>
      </w:tr>
      <w:tr w:rsidR="002F0651" w:rsidTr="00644E53">
        <w:tc>
          <w:tcPr>
            <w:tcW w:w="582" w:type="dxa"/>
            <w:vMerge/>
          </w:tcPr>
          <w:p w:rsidR="002911D5" w:rsidRDefault="002911D5" w:rsidP="00EE5DC2"/>
        </w:tc>
        <w:tc>
          <w:tcPr>
            <w:tcW w:w="2503" w:type="dxa"/>
            <w:vAlign w:val="center"/>
          </w:tcPr>
          <w:p w:rsidR="002911D5" w:rsidRPr="00644E53" w:rsidRDefault="006B0A15" w:rsidP="00644E53">
            <w:pPr>
              <w:spacing w:line="0" w:lineRule="atLeast"/>
              <w:ind w:left="180" w:hangingChars="100" w:hanging="180"/>
              <w:rPr>
                <w:sz w:val="20"/>
                <w:szCs w:val="20"/>
              </w:rPr>
            </w:pPr>
            <w:r w:rsidRPr="00644E53">
              <w:rPr>
                <w:rFonts w:hint="eastAsia"/>
                <w:sz w:val="20"/>
                <w:szCs w:val="20"/>
              </w:rPr>
              <w:t>(3)</w:t>
            </w:r>
            <w:r w:rsidR="002911D5" w:rsidRPr="00644E53">
              <w:rPr>
                <w:rFonts w:hint="eastAsia"/>
                <w:sz w:val="20"/>
                <w:szCs w:val="20"/>
              </w:rPr>
              <w:t>感覚の補助及び代行手段の活用に関すること</w:t>
            </w:r>
          </w:p>
        </w:tc>
        <w:tc>
          <w:tcPr>
            <w:tcW w:w="7088" w:type="dxa"/>
          </w:tcPr>
          <w:p w:rsidR="00EE76D3" w:rsidRPr="00644E53" w:rsidRDefault="002911D5" w:rsidP="00EE5DC2">
            <w:pPr>
              <w:rPr>
                <w:sz w:val="20"/>
                <w:szCs w:val="20"/>
              </w:rPr>
            </w:pPr>
            <w:r w:rsidRPr="00644E53">
              <w:rPr>
                <w:rFonts w:hint="eastAsia"/>
                <w:sz w:val="20"/>
                <w:szCs w:val="20"/>
              </w:rPr>
              <w:t>保有する感覚器官を用いて状況を把握しやすくするよう各種の補助機器を活用できるようにしたり、他の感覚や機器での代行が的確にできるようにしたりする</w:t>
            </w:r>
            <w:r w:rsidR="008C3F0E" w:rsidRPr="00644E53">
              <w:rPr>
                <w:rFonts w:hint="eastAsia"/>
                <w:sz w:val="20"/>
                <w:szCs w:val="20"/>
              </w:rPr>
              <w:t>ことを意味している</w:t>
            </w:r>
            <w:r w:rsidRPr="00644E53">
              <w:rPr>
                <w:rFonts w:hint="eastAsia"/>
                <w:sz w:val="20"/>
                <w:szCs w:val="20"/>
              </w:rPr>
              <w:t>。</w:t>
            </w:r>
          </w:p>
        </w:tc>
      </w:tr>
      <w:tr w:rsidR="002F0651" w:rsidRPr="002911D5" w:rsidTr="00644E53">
        <w:tc>
          <w:tcPr>
            <w:tcW w:w="582" w:type="dxa"/>
            <w:vMerge/>
          </w:tcPr>
          <w:p w:rsidR="002911D5" w:rsidRDefault="002911D5" w:rsidP="00EE5DC2"/>
        </w:tc>
        <w:tc>
          <w:tcPr>
            <w:tcW w:w="2503" w:type="dxa"/>
            <w:vAlign w:val="center"/>
          </w:tcPr>
          <w:p w:rsidR="002911D5" w:rsidRPr="00644E53" w:rsidRDefault="006B0A15" w:rsidP="00644E53">
            <w:pPr>
              <w:spacing w:line="0" w:lineRule="atLeast"/>
              <w:ind w:left="180" w:hangingChars="100" w:hanging="180"/>
              <w:rPr>
                <w:sz w:val="20"/>
                <w:szCs w:val="20"/>
              </w:rPr>
            </w:pPr>
            <w:r w:rsidRPr="00644E53">
              <w:rPr>
                <w:rFonts w:hint="eastAsia"/>
                <w:sz w:val="20"/>
                <w:szCs w:val="20"/>
              </w:rPr>
              <w:t>(4)</w:t>
            </w:r>
            <w:r w:rsidR="002911D5" w:rsidRPr="00644E53">
              <w:rPr>
                <w:rFonts w:hint="eastAsia"/>
                <w:sz w:val="20"/>
                <w:szCs w:val="20"/>
              </w:rPr>
              <w:t>感覚を総合的に活用した周囲の状況</w:t>
            </w:r>
            <w:r w:rsidR="00EA24DE" w:rsidRPr="00644E53">
              <w:rPr>
                <w:rFonts w:hint="eastAsia"/>
                <w:sz w:val="20"/>
                <w:szCs w:val="20"/>
                <w:u w:val="single"/>
              </w:rPr>
              <w:t>についての</w:t>
            </w:r>
            <w:r w:rsidR="002911D5" w:rsidRPr="00644E53">
              <w:rPr>
                <w:rFonts w:hint="eastAsia"/>
                <w:sz w:val="20"/>
                <w:szCs w:val="20"/>
                <w:u w:val="single"/>
              </w:rPr>
              <w:t>把握</w:t>
            </w:r>
            <w:r w:rsidR="00EA24DE" w:rsidRPr="00644E53">
              <w:rPr>
                <w:rFonts w:hint="eastAsia"/>
                <w:sz w:val="20"/>
                <w:szCs w:val="20"/>
                <w:u w:val="single"/>
              </w:rPr>
              <w:t>と状況に応じた行動</w:t>
            </w:r>
            <w:r w:rsidR="002911D5" w:rsidRPr="00644E53">
              <w:rPr>
                <w:rFonts w:hint="eastAsia"/>
                <w:sz w:val="20"/>
                <w:szCs w:val="20"/>
                <w:u w:val="single"/>
              </w:rPr>
              <w:t>に</w:t>
            </w:r>
            <w:r w:rsidR="002911D5" w:rsidRPr="00644E53">
              <w:rPr>
                <w:rFonts w:hint="eastAsia"/>
                <w:sz w:val="20"/>
                <w:szCs w:val="20"/>
              </w:rPr>
              <w:t>関すること</w:t>
            </w:r>
          </w:p>
        </w:tc>
        <w:tc>
          <w:tcPr>
            <w:tcW w:w="7088" w:type="dxa"/>
          </w:tcPr>
          <w:p w:rsidR="002911D5" w:rsidRPr="00644E53" w:rsidRDefault="002911D5" w:rsidP="00EE5DC2">
            <w:pPr>
              <w:rPr>
                <w:sz w:val="20"/>
                <w:szCs w:val="20"/>
              </w:rPr>
            </w:pPr>
            <w:r w:rsidRPr="00644E53">
              <w:rPr>
                <w:rFonts w:hint="eastAsia"/>
                <w:sz w:val="20"/>
                <w:szCs w:val="20"/>
              </w:rPr>
              <w:t>いろいろな感覚器官やその補助及び代行手段を総合的に活用して、情報を収集したり、環境の状況を把握したりして</w:t>
            </w:r>
            <w:r w:rsidR="00213C95" w:rsidRPr="00644E53">
              <w:rPr>
                <w:rFonts w:hint="eastAsia"/>
                <w:sz w:val="20"/>
                <w:szCs w:val="20"/>
              </w:rPr>
              <w:t>、的確な判断や行動ができるようにする</w:t>
            </w:r>
            <w:r w:rsidR="008C3F0E" w:rsidRPr="00644E53">
              <w:rPr>
                <w:rFonts w:hint="eastAsia"/>
                <w:sz w:val="20"/>
                <w:szCs w:val="20"/>
              </w:rPr>
              <w:t>ことを意味している</w:t>
            </w:r>
            <w:r w:rsidR="00213C95" w:rsidRPr="00644E53">
              <w:rPr>
                <w:rFonts w:hint="eastAsia"/>
                <w:sz w:val="20"/>
                <w:szCs w:val="20"/>
              </w:rPr>
              <w:t>。</w:t>
            </w:r>
            <w:r w:rsidR="00EA24DE" w:rsidRPr="00644E53">
              <w:rPr>
                <w:rFonts w:hint="eastAsia"/>
                <w:sz w:val="20"/>
                <w:szCs w:val="20"/>
              </w:rPr>
              <w:t xml:space="preserve">　　　　　　　　　　　　　</w:t>
            </w:r>
          </w:p>
        </w:tc>
      </w:tr>
      <w:tr w:rsidR="002F0651" w:rsidTr="00644E53">
        <w:tc>
          <w:tcPr>
            <w:tcW w:w="582" w:type="dxa"/>
            <w:vMerge/>
          </w:tcPr>
          <w:p w:rsidR="002911D5" w:rsidRDefault="002911D5" w:rsidP="00EE5DC2"/>
        </w:tc>
        <w:tc>
          <w:tcPr>
            <w:tcW w:w="2503" w:type="dxa"/>
            <w:vAlign w:val="center"/>
          </w:tcPr>
          <w:p w:rsidR="002911D5" w:rsidRPr="00644E53" w:rsidRDefault="006B0A15" w:rsidP="00644E53">
            <w:pPr>
              <w:spacing w:line="0" w:lineRule="atLeast"/>
              <w:ind w:left="180" w:hangingChars="100" w:hanging="180"/>
              <w:rPr>
                <w:sz w:val="20"/>
                <w:szCs w:val="20"/>
              </w:rPr>
            </w:pPr>
            <w:r w:rsidRPr="00644E53">
              <w:rPr>
                <w:rFonts w:hint="eastAsia"/>
                <w:sz w:val="20"/>
                <w:szCs w:val="20"/>
              </w:rPr>
              <w:t>(5)</w:t>
            </w:r>
            <w:r w:rsidR="002911D5" w:rsidRPr="00644E53">
              <w:rPr>
                <w:rFonts w:hint="eastAsia"/>
                <w:sz w:val="20"/>
                <w:szCs w:val="20"/>
              </w:rPr>
              <w:t>認知や行動の手掛かりとなる概念の形成に関すること</w:t>
            </w:r>
          </w:p>
        </w:tc>
        <w:tc>
          <w:tcPr>
            <w:tcW w:w="7088" w:type="dxa"/>
          </w:tcPr>
          <w:p w:rsidR="002911D5" w:rsidRPr="00644E53" w:rsidRDefault="00C16EFC" w:rsidP="00EE5DC2">
            <w:pPr>
              <w:rPr>
                <w:sz w:val="20"/>
                <w:szCs w:val="20"/>
              </w:rPr>
            </w:pPr>
            <w:r>
              <w:rPr>
                <w:rFonts w:hint="eastAsia"/>
                <w:sz w:val="20"/>
                <w:szCs w:val="20"/>
              </w:rPr>
              <w:t>ものの機能や属性、形、色、音が変化する様子、空間・</w:t>
            </w:r>
            <w:r w:rsidR="00213C95" w:rsidRPr="00644E53">
              <w:rPr>
                <w:rFonts w:hint="eastAsia"/>
                <w:sz w:val="20"/>
                <w:szCs w:val="20"/>
              </w:rPr>
              <w:t>時間等の概念の形成を図ることによって、それを認知や行動の手掛かりとして活用できるようにする</w:t>
            </w:r>
            <w:r w:rsidR="008C3F0E" w:rsidRPr="00644E53">
              <w:rPr>
                <w:rFonts w:hint="eastAsia"/>
                <w:sz w:val="20"/>
                <w:szCs w:val="20"/>
              </w:rPr>
              <w:t>ことを意味している</w:t>
            </w:r>
            <w:r w:rsidR="00213C95" w:rsidRPr="00644E53">
              <w:rPr>
                <w:rFonts w:hint="eastAsia"/>
                <w:sz w:val="20"/>
                <w:szCs w:val="20"/>
              </w:rPr>
              <w:t>。</w:t>
            </w:r>
          </w:p>
        </w:tc>
      </w:tr>
      <w:tr w:rsidR="002F0651" w:rsidTr="00644E53">
        <w:tc>
          <w:tcPr>
            <w:tcW w:w="582" w:type="dxa"/>
            <w:vMerge w:val="restart"/>
            <w:textDirection w:val="tbRlV"/>
            <w:vAlign w:val="center"/>
          </w:tcPr>
          <w:p w:rsidR="00EE5DC2" w:rsidRDefault="000749CD" w:rsidP="00EE5DC2">
            <w:pPr>
              <w:ind w:left="113" w:right="113"/>
              <w:jc w:val="center"/>
            </w:pPr>
            <w:r>
              <w:rPr>
                <w:rFonts w:hint="eastAsia"/>
              </w:rPr>
              <w:lastRenderedPageBreak/>
              <w:t xml:space="preserve">身　</w:t>
            </w:r>
            <w:r w:rsidR="00EE5DC2">
              <w:rPr>
                <w:rFonts w:hint="eastAsia"/>
              </w:rPr>
              <w:t>体　の　動　き</w:t>
            </w:r>
          </w:p>
        </w:tc>
        <w:tc>
          <w:tcPr>
            <w:tcW w:w="2503" w:type="dxa"/>
            <w:vAlign w:val="center"/>
          </w:tcPr>
          <w:p w:rsidR="00EE5DC2" w:rsidRPr="00644E53" w:rsidRDefault="006B0A15" w:rsidP="00644E53">
            <w:pPr>
              <w:spacing w:line="0" w:lineRule="atLeast"/>
              <w:ind w:left="180" w:hangingChars="100" w:hanging="180"/>
              <w:rPr>
                <w:sz w:val="20"/>
                <w:szCs w:val="20"/>
              </w:rPr>
            </w:pPr>
            <w:r w:rsidRPr="00644E53">
              <w:rPr>
                <w:rFonts w:hint="eastAsia"/>
                <w:sz w:val="20"/>
                <w:szCs w:val="20"/>
              </w:rPr>
              <w:t>(1)</w:t>
            </w:r>
            <w:r w:rsidR="00EE5DC2" w:rsidRPr="00644E53">
              <w:rPr>
                <w:rFonts w:hint="eastAsia"/>
                <w:sz w:val="20"/>
                <w:szCs w:val="20"/>
              </w:rPr>
              <w:t>姿勢と運動・動作の基本的技能に関すること</w:t>
            </w:r>
          </w:p>
        </w:tc>
        <w:tc>
          <w:tcPr>
            <w:tcW w:w="7088" w:type="dxa"/>
          </w:tcPr>
          <w:p w:rsidR="00E75B2F" w:rsidRPr="00644E53" w:rsidRDefault="00EE5DC2" w:rsidP="00E8552A">
            <w:pPr>
              <w:rPr>
                <w:sz w:val="20"/>
                <w:szCs w:val="20"/>
              </w:rPr>
            </w:pPr>
            <w:r w:rsidRPr="00644E53">
              <w:rPr>
                <w:rFonts w:hint="eastAsia"/>
                <w:sz w:val="20"/>
                <w:szCs w:val="20"/>
              </w:rPr>
              <w:t>日常生活に必要な動作の基本となる姿勢保持や上肢・下肢の運動・動作の改善及び習得、間</w:t>
            </w:r>
            <w:r w:rsidR="00E8552A" w:rsidRPr="00644E53">
              <w:rPr>
                <w:rFonts w:hint="eastAsia"/>
                <w:sz w:val="20"/>
                <w:szCs w:val="20"/>
              </w:rPr>
              <w:t>節</w:t>
            </w:r>
            <w:r w:rsidR="00C16EFC">
              <w:rPr>
                <w:rFonts w:hint="eastAsia"/>
                <w:sz w:val="20"/>
                <w:szCs w:val="20"/>
              </w:rPr>
              <w:t>の拘縮や変形の予防</w:t>
            </w:r>
            <w:r w:rsidRPr="00644E53">
              <w:rPr>
                <w:rFonts w:hint="eastAsia"/>
                <w:sz w:val="20"/>
                <w:szCs w:val="20"/>
              </w:rPr>
              <w:t>、筋力の維持・強化を図る</w:t>
            </w:r>
            <w:r w:rsidR="008C3F0E" w:rsidRPr="00644E53">
              <w:rPr>
                <w:rFonts w:hint="eastAsia"/>
                <w:sz w:val="20"/>
                <w:szCs w:val="20"/>
              </w:rPr>
              <w:t>こと</w:t>
            </w:r>
            <w:r w:rsidR="000749CD">
              <w:rPr>
                <w:rFonts w:hint="eastAsia"/>
                <w:sz w:val="20"/>
                <w:szCs w:val="20"/>
              </w:rPr>
              <w:t>などの</w:t>
            </w:r>
            <w:r w:rsidR="000749CD" w:rsidRPr="00B13521">
              <w:rPr>
                <w:rFonts w:hint="eastAsia"/>
                <w:sz w:val="20"/>
                <w:szCs w:val="20"/>
              </w:rPr>
              <w:t>基本的技能に関すること</w:t>
            </w:r>
            <w:r w:rsidR="008C3F0E" w:rsidRPr="00644E53">
              <w:rPr>
                <w:rFonts w:hint="eastAsia"/>
                <w:sz w:val="20"/>
                <w:szCs w:val="20"/>
              </w:rPr>
              <w:t>を意味している</w:t>
            </w:r>
            <w:r w:rsidRPr="00644E53">
              <w:rPr>
                <w:rFonts w:hint="eastAsia"/>
                <w:sz w:val="20"/>
                <w:szCs w:val="20"/>
              </w:rPr>
              <w:t>。</w:t>
            </w:r>
          </w:p>
        </w:tc>
      </w:tr>
      <w:tr w:rsidR="002F0651" w:rsidTr="00644E53">
        <w:tc>
          <w:tcPr>
            <w:tcW w:w="582" w:type="dxa"/>
            <w:vMerge/>
          </w:tcPr>
          <w:p w:rsidR="00EE5DC2" w:rsidRDefault="00EE5DC2" w:rsidP="00EE5DC2"/>
        </w:tc>
        <w:tc>
          <w:tcPr>
            <w:tcW w:w="2503" w:type="dxa"/>
            <w:vAlign w:val="center"/>
          </w:tcPr>
          <w:p w:rsidR="00EE5DC2" w:rsidRPr="00644E53" w:rsidRDefault="006B0A15" w:rsidP="00644E53">
            <w:pPr>
              <w:spacing w:line="0" w:lineRule="atLeast"/>
              <w:ind w:left="180" w:hangingChars="100" w:hanging="180"/>
              <w:rPr>
                <w:sz w:val="20"/>
                <w:szCs w:val="20"/>
              </w:rPr>
            </w:pPr>
            <w:r w:rsidRPr="00644E53">
              <w:rPr>
                <w:rFonts w:hint="eastAsia"/>
                <w:sz w:val="20"/>
                <w:szCs w:val="20"/>
              </w:rPr>
              <w:t>(2)</w:t>
            </w:r>
            <w:r w:rsidR="00EE5DC2" w:rsidRPr="00644E53">
              <w:rPr>
                <w:rFonts w:hint="eastAsia"/>
                <w:sz w:val="20"/>
                <w:szCs w:val="20"/>
              </w:rPr>
              <w:t>姿勢保持と運動・動作の補助的手段の活用に関すること</w:t>
            </w:r>
          </w:p>
        </w:tc>
        <w:tc>
          <w:tcPr>
            <w:tcW w:w="7088" w:type="dxa"/>
          </w:tcPr>
          <w:p w:rsidR="00EE5DC2" w:rsidRPr="00644E53" w:rsidRDefault="00EE5DC2" w:rsidP="00EE5DC2">
            <w:pPr>
              <w:rPr>
                <w:sz w:val="20"/>
                <w:szCs w:val="20"/>
              </w:rPr>
            </w:pPr>
            <w:r w:rsidRPr="00644E53">
              <w:rPr>
                <w:rFonts w:hint="eastAsia"/>
                <w:sz w:val="20"/>
                <w:szCs w:val="20"/>
              </w:rPr>
              <w:t>姿勢の保持や各種の運動・動作が困難な場合、様々な補助用具等の補助的手段を活用してこれらができるようにする</w:t>
            </w:r>
            <w:r w:rsidR="008C3F0E" w:rsidRPr="00644E53">
              <w:rPr>
                <w:rFonts w:hint="eastAsia"/>
                <w:sz w:val="20"/>
                <w:szCs w:val="20"/>
              </w:rPr>
              <w:t>ことを意味している</w:t>
            </w:r>
            <w:r w:rsidRPr="00644E53">
              <w:rPr>
                <w:rFonts w:hint="eastAsia"/>
                <w:sz w:val="20"/>
                <w:szCs w:val="20"/>
              </w:rPr>
              <w:t>。</w:t>
            </w:r>
          </w:p>
        </w:tc>
      </w:tr>
      <w:tr w:rsidR="002F0651" w:rsidTr="00644E53">
        <w:tc>
          <w:tcPr>
            <w:tcW w:w="582" w:type="dxa"/>
            <w:vMerge/>
          </w:tcPr>
          <w:p w:rsidR="00EE5DC2" w:rsidRDefault="00EE5DC2" w:rsidP="00EE5DC2"/>
        </w:tc>
        <w:tc>
          <w:tcPr>
            <w:tcW w:w="2503" w:type="dxa"/>
            <w:vAlign w:val="center"/>
          </w:tcPr>
          <w:p w:rsidR="00EE5DC2" w:rsidRPr="00644E53" w:rsidRDefault="006B0A15" w:rsidP="00644E53">
            <w:pPr>
              <w:spacing w:line="0" w:lineRule="atLeast"/>
              <w:ind w:left="180" w:hangingChars="100" w:hanging="180"/>
              <w:rPr>
                <w:sz w:val="20"/>
                <w:szCs w:val="20"/>
              </w:rPr>
            </w:pPr>
            <w:r w:rsidRPr="00644E53">
              <w:rPr>
                <w:rFonts w:hint="eastAsia"/>
                <w:sz w:val="20"/>
                <w:szCs w:val="20"/>
              </w:rPr>
              <w:t>(3)</w:t>
            </w:r>
            <w:r w:rsidR="00EE5DC2" w:rsidRPr="00644E53">
              <w:rPr>
                <w:rFonts w:hint="eastAsia"/>
                <w:sz w:val="20"/>
                <w:szCs w:val="20"/>
              </w:rPr>
              <w:t>日常生活に必要な基本動作に関すること</w:t>
            </w:r>
          </w:p>
        </w:tc>
        <w:tc>
          <w:tcPr>
            <w:tcW w:w="7088" w:type="dxa"/>
          </w:tcPr>
          <w:p w:rsidR="00E75B2F" w:rsidRPr="00644E53" w:rsidRDefault="00EE5DC2" w:rsidP="00EE5DC2">
            <w:pPr>
              <w:rPr>
                <w:sz w:val="20"/>
                <w:szCs w:val="20"/>
              </w:rPr>
            </w:pPr>
            <w:r w:rsidRPr="00644E53">
              <w:rPr>
                <w:rFonts w:hint="eastAsia"/>
                <w:sz w:val="20"/>
                <w:szCs w:val="20"/>
              </w:rPr>
              <w:t>食事、排泄、衣服の着脱、洗面、入浴などの身辺処理及び書字、描画等の学習のための動作などの基本動作を身に付けることができるようにする</w:t>
            </w:r>
            <w:r w:rsidR="008C3F0E" w:rsidRPr="00644E53">
              <w:rPr>
                <w:rFonts w:hint="eastAsia"/>
                <w:sz w:val="20"/>
                <w:szCs w:val="20"/>
              </w:rPr>
              <w:t>ことを意味している</w:t>
            </w:r>
            <w:r w:rsidRPr="00644E53">
              <w:rPr>
                <w:rFonts w:hint="eastAsia"/>
                <w:sz w:val="20"/>
                <w:szCs w:val="20"/>
              </w:rPr>
              <w:t>。</w:t>
            </w:r>
          </w:p>
        </w:tc>
      </w:tr>
      <w:tr w:rsidR="002F0651" w:rsidTr="00644E53">
        <w:tc>
          <w:tcPr>
            <w:tcW w:w="582" w:type="dxa"/>
            <w:vMerge/>
          </w:tcPr>
          <w:p w:rsidR="00EE5DC2" w:rsidRDefault="00EE5DC2" w:rsidP="00EE5DC2"/>
        </w:tc>
        <w:tc>
          <w:tcPr>
            <w:tcW w:w="2503" w:type="dxa"/>
            <w:vAlign w:val="center"/>
          </w:tcPr>
          <w:p w:rsidR="00EE5DC2" w:rsidRPr="00644E53" w:rsidRDefault="006B0A15" w:rsidP="00644E53">
            <w:pPr>
              <w:spacing w:line="0" w:lineRule="atLeast"/>
              <w:ind w:left="180" w:hangingChars="100" w:hanging="180"/>
              <w:rPr>
                <w:sz w:val="20"/>
                <w:szCs w:val="20"/>
              </w:rPr>
            </w:pPr>
            <w:r w:rsidRPr="00644E53">
              <w:rPr>
                <w:rFonts w:hint="eastAsia"/>
                <w:sz w:val="20"/>
                <w:szCs w:val="20"/>
              </w:rPr>
              <w:t>(4)</w:t>
            </w:r>
            <w:r w:rsidR="00EE5DC2" w:rsidRPr="00644E53">
              <w:rPr>
                <w:rFonts w:hint="eastAsia"/>
                <w:sz w:val="20"/>
                <w:szCs w:val="20"/>
              </w:rPr>
              <w:t>身体の移動能力に関すること</w:t>
            </w:r>
          </w:p>
        </w:tc>
        <w:tc>
          <w:tcPr>
            <w:tcW w:w="7088" w:type="dxa"/>
          </w:tcPr>
          <w:p w:rsidR="00E75B2F" w:rsidRPr="00644E53" w:rsidRDefault="00EE5DC2" w:rsidP="00EE5DC2">
            <w:pPr>
              <w:rPr>
                <w:sz w:val="20"/>
                <w:szCs w:val="20"/>
              </w:rPr>
            </w:pPr>
            <w:r w:rsidRPr="00644E53">
              <w:rPr>
                <w:rFonts w:hint="eastAsia"/>
                <w:sz w:val="20"/>
                <w:szCs w:val="20"/>
              </w:rPr>
              <w:t>自力での身体移動や歩行、歩行器や車いすによる移動など、日常生活に必要な移動能力の向上を図る</w:t>
            </w:r>
            <w:r w:rsidR="008C3F0E" w:rsidRPr="00644E53">
              <w:rPr>
                <w:rFonts w:hint="eastAsia"/>
                <w:sz w:val="20"/>
                <w:szCs w:val="20"/>
              </w:rPr>
              <w:t>ことを意味している</w:t>
            </w:r>
            <w:r w:rsidRPr="00644E53">
              <w:rPr>
                <w:rFonts w:hint="eastAsia"/>
                <w:sz w:val="20"/>
                <w:szCs w:val="20"/>
              </w:rPr>
              <w:t>。</w:t>
            </w:r>
          </w:p>
        </w:tc>
      </w:tr>
      <w:tr w:rsidR="002F0651" w:rsidTr="00644E53">
        <w:tc>
          <w:tcPr>
            <w:tcW w:w="582" w:type="dxa"/>
            <w:vMerge/>
          </w:tcPr>
          <w:p w:rsidR="00EE5DC2" w:rsidRDefault="00EE5DC2" w:rsidP="00EE5DC2"/>
        </w:tc>
        <w:tc>
          <w:tcPr>
            <w:tcW w:w="2503" w:type="dxa"/>
            <w:vAlign w:val="center"/>
          </w:tcPr>
          <w:p w:rsidR="00EE5DC2" w:rsidRPr="00644E53" w:rsidRDefault="006B0A15" w:rsidP="00644E53">
            <w:pPr>
              <w:spacing w:line="0" w:lineRule="atLeast"/>
              <w:ind w:left="180" w:hangingChars="100" w:hanging="180"/>
              <w:rPr>
                <w:sz w:val="20"/>
                <w:szCs w:val="20"/>
              </w:rPr>
            </w:pPr>
            <w:r w:rsidRPr="00644E53">
              <w:rPr>
                <w:rFonts w:hint="eastAsia"/>
                <w:sz w:val="20"/>
                <w:szCs w:val="20"/>
              </w:rPr>
              <w:t>(5)</w:t>
            </w:r>
            <w:r w:rsidR="00EE5DC2" w:rsidRPr="00644E53">
              <w:rPr>
                <w:rFonts w:hint="eastAsia"/>
                <w:sz w:val="20"/>
                <w:szCs w:val="20"/>
              </w:rPr>
              <w:t>作業に必要な動作と円滑な遂行に関すること</w:t>
            </w:r>
          </w:p>
        </w:tc>
        <w:tc>
          <w:tcPr>
            <w:tcW w:w="7088" w:type="dxa"/>
          </w:tcPr>
          <w:p w:rsidR="00E75B2F" w:rsidRPr="00644E53" w:rsidRDefault="00EE5DC2" w:rsidP="00EE5DC2">
            <w:pPr>
              <w:rPr>
                <w:sz w:val="20"/>
                <w:szCs w:val="20"/>
              </w:rPr>
            </w:pPr>
            <w:r w:rsidRPr="00644E53">
              <w:rPr>
                <w:rFonts w:hint="eastAsia"/>
                <w:sz w:val="20"/>
                <w:szCs w:val="20"/>
              </w:rPr>
              <w:t>作業に必要な基本動作を習得し、その巧緻性や持続性の向上を図るとともに、作業を円滑に遂行する能力を高める</w:t>
            </w:r>
            <w:r w:rsidR="008C3F0E" w:rsidRPr="00644E53">
              <w:rPr>
                <w:rFonts w:hint="eastAsia"/>
                <w:sz w:val="20"/>
                <w:szCs w:val="20"/>
              </w:rPr>
              <w:t>ことを意味している</w:t>
            </w:r>
            <w:r w:rsidRPr="00644E53">
              <w:rPr>
                <w:rFonts w:hint="eastAsia"/>
                <w:sz w:val="20"/>
                <w:szCs w:val="20"/>
              </w:rPr>
              <w:t>。</w:t>
            </w:r>
          </w:p>
        </w:tc>
      </w:tr>
      <w:tr w:rsidR="002F0651" w:rsidTr="00644E53">
        <w:tc>
          <w:tcPr>
            <w:tcW w:w="582" w:type="dxa"/>
            <w:vMerge w:val="restart"/>
            <w:textDirection w:val="tbRlV"/>
            <w:vAlign w:val="center"/>
          </w:tcPr>
          <w:p w:rsidR="00EE5DC2" w:rsidRDefault="00EE5DC2" w:rsidP="00EE5DC2">
            <w:pPr>
              <w:ind w:left="113" w:right="113"/>
              <w:jc w:val="center"/>
            </w:pPr>
            <w:r>
              <w:rPr>
                <w:rFonts w:hint="eastAsia"/>
              </w:rPr>
              <w:t>コミュニケーション</w:t>
            </w:r>
          </w:p>
        </w:tc>
        <w:tc>
          <w:tcPr>
            <w:tcW w:w="2503" w:type="dxa"/>
            <w:vAlign w:val="center"/>
          </w:tcPr>
          <w:p w:rsidR="00EE5DC2" w:rsidRPr="00644E53" w:rsidRDefault="006B0A15" w:rsidP="00644E53">
            <w:pPr>
              <w:spacing w:line="0" w:lineRule="atLeast"/>
              <w:ind w:left="180" w:hangingChars="100" w:hanging="180"/>
              <w:rPr>
                <w:sz w:val="20"/>
                <w:szCs w:val="20"/>
              </w:rPr>
            </w:pPr>
            <w:r w:rsidRPr="00644E53">
              <w:rPr>
                <w:rFonts w:hint="eastAsia"/>
                <w:sz w:val="20"/>
                <w:szCs w:val="20"/>
              </w:rPr>
              <w:t>(1)</w:t>
            </w:r>
            <w:r w:rsidR="00EE5DC2" w:rsidRPr="00644E53">
              <w:rPr>
                <w:rFonts w:hint="eastAsia"/>
                <w:sz w:val="20"/>
                <w:szCs w:val="20"/>
              </w:rPr>
              <w:t>コミュニケーションの基礎的能力に関すること</w:t>
            </w:r>
          </w:p>
        </w:tc>
        <w:tc>
          <w:tcPr>
            <w:tcW w:w="7088" w:type="dxa"/>
          </w:tcPr>
          <w:p w:rsidR="00E75B2F" w:rsidRPr="00644E53" w:rsidRDefault="00EE5DC2" w:rsidP="00E8552A">
            <w:pPr>
              <w:rPr>
                <w:sz w:val="20"/>
                <w:szCs w:val="20"/>
              </w:rPr>
            </w:pPr>
            <w:r w:rsidRPr="00644E53">
              <w:rPr>
                <w:rFonts w:hint="eastAsia"/>
                <w:sz w:val="20"/>
                <w:szCs w:val="20"/>
              </w:rPr>
              <w:t>幼児児童生徒の障害の種類や程度、興味・関心等に応じて、表情や身振り、各種の機器などを用いて</w:t>
            </w:r>
            <w:r w:rsidR="00E8552A" w:rsidRPr="00644E53">
              <w:rPr>
                <w:rFonts w:hint="eastAsia"/>
                <w:sz w:val="20"/>
                <w:szCs w:val="20"/>
              </w:rPr>
              <w:t>意思の</w:t>
            </w:r>
            <w:r w:rsidRPr="00644E53">
              <w:rPr>
                <w:rFonts w:hint="eastAsia"/>
                <w:sz w:val="20"/>
                <w:szCs w:val="20"/>
              </w:rPr>
              <w:t>やりとりが行えるようにするなど、コミュニケーションに必要な基礎的な能力を身に付ける</w:t>
            </w:r>
            <w:r w:rsidR="008C3F0E" w:rsidRPr="00644E53">
              <w:rPr>
                <w:rFonts w:hint="eastAsia"/>
                <w:sz w:val="20"/>
                <w:szCs w:val="20"/>
              </w:rPr>
              <w:t>ことを意味している</w:t>
            </w:r>
            <w:r w:rsidRPr="00644E53">
              <w:rPr>
                <w:rFonts w:hint="eastAsia"/>
                <w:sz w:val="20"/>
                <w:szCs w:val="20"/>
              </w:rPr>
              <w:t>。</w:t>
            </w:r>
          </w:p>
        </w:tc>
      </w:tr>
      <w:tr w:rsidR="002F0651" w:rsidTr="00644E53">
        <w:tc>
          <w:tcPr>
            <w:tcW w:w="582" w:type="dxa"/>
            <w:vMerge/>
          </w:tcPr>
          <w:p w:rsidR="00EE5DC2" w:rsidRDefault="00EE5DC2" w:rsidP="00EE5DC2"/>
        </w:tc>
        <w:tc>
          <w:tcPr>
            <w:tcW w:w="2503" w:type="dxa"/>
            <w:vAlign w:val="center"/>
          </w:tcPr>
          <w:p w:rsidR="00EE5DC2" w:rsidRPr="00644E53" w:rsidRDefault="006B0A15" w:rsidP="00644E53">
            <w:pPr>
              <w:spacing w:line="0" w:lineRule="atLeast"/>
              <w:ind w:left="180" w:hangingChars="100" w:hanging="180"/>
              <w:rPr>
                <w:sz w:val="20"/>
                <w:szCs w:val="20"/>
              </w:rPr>
            </w:pPr>
            <w:r w:rsidRPr="00644E53">
              <w:rPr>
                <w:rFonts w:hint="eastAsia"/>
                <w:sz w:val="20"/>
                <w:szCs w:val="20"/>
              </w:rPr>
              <w:t>(2)</w:t>
            </w:r>
            <w:r w:rsidR="00EE5DC2" w:rsidRPr="00644E53">
              <w:rPr>
                <w:rFonts w:hint="eastAsia"/>
                <w:sz w:val="20"/>
                <w:szCs w:val="20"/>
              </w:rPr>
              <w:t>言語の受容と表出に関すること</w:t>
            </w:r>
          </w:p>
        </w:tc>
        <w:tc>
          <w:tcPr>
            <w:tcW w:w="7088" w:type="dxa"/>
          </w:tcPr>
          <w:p w:rsidR="00E75B2F" w:rsidRPr="00644E53" w:rsidRDefault="00EE5DC2" w:rsidP="00EE5DC2">
            <w:pPr>
              <w:rPr>
                <w:sz w:val="20"/>
                <w:szCs w:val="20"/>
              </w:rPr>
            </w:pPr>
            <w:r w:rsidRPr="00644E53">
              <w:rPr>
                <w:rFonts w:hint="eastAsia"/>
                <w:sz w:val="20"/>
                <w:szCs w:val="20"/>
              </w:rPr>
              <w:t>話し言葉や各種の文字・記号等を用いて、相手の意図を受け止めたり、自分の考えを伝えたりするなど、言語を受容し表出することができるようにする</w:t>
            </w:r>
            <w:r w:rsidR="008C3F0E" w:rsidRPr="00644E53">
              <w:rPr>
                <w:rFonts w:hint="eastAsia"/>
                <w:sz w:val="20"/>
                <w:szCs w:val="20"/>
              </w:rPr>
              <w:t>ことを意味している</w:t>
            </w:r>
            <w:r w:rsidRPr="00644E53">
              <w:rPr>
                <w:rFonts w:hint="eastAsia"/>
                <w:sz w:val="20"/>
                <w:szCs w:val="20"/>
              </w:rPr>
              <w:t>。</w:t>
            </w:r>
          </w:p>
        </w:tc>
      </w:tr>
      <w:tr w:rsidR="002F0651" w:rsidTr="00644E53">
        <w:tc>
          <w:tcPr>
            <w:tcW w:w="582" w:type="dxa"/>
            <w:vMerge/>
          </w:tcPr>
          <w:p w:rsidR="00EE5DC2" w:rsidRDefault="00EE5DC2" w:rsidP="00EE5DC2"/>
        </w:tc>
        <w:tc>
          <w:tcPr>
            <w:tcW w:w="2503" w:type="dxa"/>
            <w:vAlign w:val="center"/>
          </w:tcPr>
          <w:p w:rsidR="00EE5DC2" w:rsidRPr="00644E53" w:rsidRDefault="006B0A15" w:rsidP="00644E53">
            <w:pPr>
              <w:spacing w:line="0" w:lineRule="atLeast"/>
              <w:ind w:left="180" w:hangingChars="100" w:hanging="180"/>
              <w:rPr>
                <w:sz w:val="20"/>
                <w:szCs w:val="20"/>
              </w:rPr>
            </w:pPr>
            <w:r w:rsidRPr="00644E53">
              <w:rPr>
                <w:rFonts w:hint="eastAsia"/>
                <w:sz w:val="20"/>
                <w:szCs w:val="20"/>
              </w:rPr>
              <w:t>(3)</w:t>
            </w:r>
            <w:r w:rsidR="00EE5DC2" w:rsidRPr="00644E53">
              <w:rPr>
                <w:rFonts w:hint="eastAsia"/>
                <w:sz w:val="20"/>
                <w:szCs w:val="20"/>
              </w:rPr>
              <w:t>言語の形成と活用に関すること</w:t>
            </w:r>
          </w:p>
        </w:tc>
        <w:tc>
          <w:tcPr>
            <w:tcW w:w="7088" w:type="dxa"/>
          </w:tcPr>
          <w:p w:rsidR="00E75B2F" w:rsidRPr="00644E53" w:rsidRDefault="00EE5DC2" w:rsidP="00EE5DC2">
            <w:pPr>
              <w:rPr>
                <w:sz w:val="20"/>
                <w:szCs w:val="20"/>
              </w:rPr>
            </w:pPr>
            <w:r w:rsidRPr="00644E53">
              <w:rPr>
                <w:rFonts w:hint="eastAsia"/>
                <w:sz w:val="20"/>
                <w:szCs w:val="20"/>
              </w:rPr>
              <w:t>コミュニケーションを通して、事物や現象、自己の行</w:t>
            </w:r>
            <w:r w:rsidR="00E8552A" w:rsidRPr="00644E53">
              <w:rPr>
                <w:rFonts w:hint="eastAsia"/>
                <w:sz w:val="20"/>
                <w:szCs w:val="20"/>
              </w:rPr>
              <w:t>動等</w:t>
            </w:r>
            <w:r w:rsidRPr="00644E53">
              <w:rPr>
                <w:rFonts w:hint="eastAsia"/>
                <w:sz w:val="20"/>
                <w:szCs w:val="20"/>
              </w:rPr>
              <w:t>に対応した言語の概念の形成を図り、体系的な言語を身に付けることができるようにする</w:t>
            </w:r>
            <w:r w:rsidR="008C3F0E" w:rsidRPr="00644E53">
              <w:rPr>
                <w:rFonts w:hint="eastAsia"/>
                <w:sz w:val="20"/>
                <w:szCs w:val="20"/>
              </w:rPr>
              <w:t>ことを意味している</w:t>
            </w:r>
            <w:r w:rsidRPr="00644E53">
              <w:rPr>
                <w:rFonts w:hint="eastAsia"/>
                <w:sz w:val="20"/>
                <w:szCs w:val="20"/>
              </w:rPr>
              <w:t>。</w:t>
            </w:r>
          </w:p>
        </w:tc>
      </w:tr>
      <w:tr w:rsidR="002F0651" w:rsidTr="00644E53">
        <w:tc>
          <w:tcPr>
            <w:tcW w:w="582" w:type="dxa"/>
            <w:vMerge/>
          </w:tcPr>
          <w:p w:rsidR="00EE5DC2" w:rsidRDefault="00EE5DC2" w:rsidP="00EE5DC2"/>
        </w:tc>
        <w:tc>
          <w:tcPr>
            <w:tcW w:w="2503" w:type="dxa"/>
            <w:vAlign w:val="center"/>
          </w:tcPr>
          <w:p w:rsidR="00EE5DC2" w:rsidRPr="00644E53" w:rsidRDefault="006B0A15" w:rsidP="00644E53">
            <w:pPr>
              <w:spacing w:line="0" w:lineRule="atLeast"/>
              <w:ind w:left="180" w:hangingChars="100" w:hanging="180"/>
              <w:rPr>
                <w:sz w:val="20"/>
                <w:szCs w:val="20"/>
              </w:rPr>
            </w:pPr>
            <w:r w:rsidRPr="00644E53">
              <w:rPr>
                <w:rFonts w:hint="eastAsia"/>
                <w:sz w:val="20"/>
                <w:szCs w:val="20"/>
              </w:rPr>
              <w:t>(4)</w:t>
            </w:r>
            <w:r w:rsidR="00EE5DC2" w:rsidRPr="00644E53">
              <w:rPr>
                <w:rFonts w:hint="eastAsia"/>
                <w:sz w:val="20"/>
                <w:szCs w:val="20"/>
              </w:rPr>
              <w:t>コミュニケーション手段の選択と活用に関すること</w:t>
            </w:r>
          </w:p>
        </w:tc>
        <w:tc>
          <w:tcPr>
            <w:tcW w:w="7088" w:type="dxa"/>
          </w:tcPr>
          <w:p w:rsidR="00EE5DC2" w:rsidRPr="00644E53" w:rsidRDefault="00EE5DC2" w:rsidP="00EE5DC2">
            <w:pPr>
              <w:rPr>
                <w:sz w:val="20"/>
                <w:szCs w:val="20"/>
              </w:rPr>
            </w:pPr>
            <w:r w:rsidRPr="00644E53">
              <w:rPr>
                <w:rFonts w:hint="eastAsia"/>
                <w:sz w:val="20"/>
                <w:szCs w:val="20"/>
              </w:rPr>
              <w:t>話し言葉や各種の文字・記号、機器等のコミュニケーション手段を適切に選択・活用し、</w:t>
            </w:r>
            <w:r w:rsidR="000749CD" w:rsidRPr="00B13521">
              <w:rPr>
                <w:rFonts w:hint="eastAsia"/>
                <w:sz w:val="20"/>
                <w:szCs w:val="20"/>
              </w:rPr>
              <w:t>他者との</w:t>
            </w:r>
            <w:r w:rsidRPr="00644E53">
              <w:rPr>
                <w:rFonts w:hint="eastAsia"/>
                <w:sz w:val="20"/>
                <w:szCs w:val="20"/>
              </w:rPr>
              <w:t>コミュニケーションが円滑にできるようにする</w:t>
            </w:r>
            <w:r w:rsidR="00EA24DE" w:rsidRPr="00644E53">
              <w:rPr>
                <w:rFonts w:hint="eastAsia"/>
                <w:sz w:val="20"/>
                <w:szCs w:val="20"/>
              </w:rPr>
              <w:t>ことを意味している</w:t>
            </w:r>
            <w:r w:rsidRPr="00644E53">
              <w:rPr>
                <w:rFonts w:hint="eastAsia"/>
                <w:sz w:val="20"/>
                <w:szCs w:val="20"/>
              </w:rPr>
              <w:t>。</w:t>
            </w:r>
          </w:p>
        </w:tc>
      </w:tr>
      <w:tr w:rsidR="002F0651" w:rsidTr="00644E53">
        <w:tc>
          <w:tcPr>
            <w:tcW w:w="582" w:type="dxa"/>
            <w:vMerge/>
          </w:tcPr>
          <w:p w:rsidR="00EE5DC2" w:rsidRDefault="00EE5DC2" w:rsidP="00EE5DC2"/>
        </w:tc>
        <w:tc>
          <w:tcPr>
            <w:tcW w:w="2503" w:type="dxa"/>
            <w:vAlign w:val="center"/>
          </w:tcPr>
          <w:p w:rsidR="00EE5DC2" w:rsidRPr="00644E53" w:rsidRDefault="006B0A15" w:rsidP="00644E53">
            <w:pPr>
              <w:spacing w:line="0" w:lineRule="atLeast"/>
              <w:ind w:left="180" w:hangingChars="100" w:hanging="180"/>
              <w:rPr>
                <w:sz w:val="20"/>
                <w:szCs w:val="20"/>
              </w:rPr>
            </w:pPr>
            <w:r w:rsidRPr="00644E53">
              <w:rPr>
                <w:rFonts w:hint="eastAsia"/>
                <w:sz w:val="20"/>
                <w:szCs w:val="20"/>
              </w:rPr>
              <w:t>(5)</w:t>
            </w:r>
            <w:r w:rsidR="00EE5DC2" w:rsidRPr="00644E53">
              <w:rPr>
                <w:rFonts w:hint="eastAsia"/>
                <w:sz w:val="20"/>
                <w:szCs w:val="20"/>
              </w:rPr>
              <w:t>状況に応じたコミュニケーションに関すること</w:t>
            </w:r>
          </w:p>
        </w:tc>
        <w:tc>
          <w:tcPr>
            <w:tcW w:w="7088" w:type="dxa"/>
          </w:tcPr>
          <w:p w:rsidR="00EE5DC2" w:rsidRDefault="000749CD" w:rsidP="00EE5DC2">
            <w:pPr>
              <w:rPr>
                <w:sz w:val="20"/>
                <w:szCs w:val="20"/>
              </w:rPr>
            </w:pPr>
            <w:r w:rsidRPr="00E75B2F">
              <w:rPr>
                <w:rFonts w:hint="eastAsia"/>
                <w:sz w:val="20"/>
                <w:szCs w:val="20"/>
                <w:u w:val="single"/>
              </w:rPr>
              <w:t>コミュニケーションを円滑に行うためには、伝えようとする側と受け取る側との人間関係や、その</w:t>
            </w:r>
            <w:r w:rsidR="00583222">
              <w:rPr>
                <w:rFonts w:hint="eastAsia"/>
                <w:sz w:val="20"/>
                <w:szCs w:val="20"/>
                <w:u w:val="single"/>
              </w:rPr>
              <w:t>とき</w:t>
            </w:r>
            <w:r w:rsidRPr="00E75B2F">
              <w:rPr>
                <w:rFonts w:hint="eastAsia"/>
                <w:sz w:val="20"/>
                <w:szCs w:val="20"/>
                <w:u w:val="single"/>
              </w:rPr>
              <w:t>の状況を的確に把握することが重要であることから、場や相手の状況に応じて、主体的にコミュニケーションを展開できるようにすることを意味している</w:t>
            </w:r>
            <w:r>
              <w:rPr>
                <w:rFonts w:hint="eastAsia"/>
                <w:sz w:val="20"/>
                <w:szCs w:val="20"/>
              </w:rPr>
              <w:t>。</w:t>
            </w:r>
          </w:p>
          <w:p w:rsidR="00E75B2F" w:rsidRPr="00644E53" w:rsidRDefault="00E75B2F" w:rsidP="00EE5DC2">
            <w:pPr>
              <w:rPr>
                <w:sz w:val="20"/>
                <w:szCs w:val="20"/>
              </w:rPr>
            </w:pPr>
          </w:p>
        </w:tc>
      </w:tr>
    </w:tbl>
    <w:p w:rsidR="00162C9E" w:rsidRDefault="00E75B2F">
      <w:r>
        <w:rPr>
          <w:rFonts w:hint="eastAsia"/>
          <w:noProof/>
        </w:rPr>
        <mc:AlternateContent>
          <mc:Choice Requires="wps">
            <w:drawing>
              <wp:anchor distT="0" distB="0" distL="114300" distR="114300" simplePos="0" relativeHeight="251664384" behindDoc="0" locked="0" layoutInCell="1" allowOverlap="1" wp14:anchorId="26E64AA8" wp14:editId="6BCADA7B">
                <wp:simplePos x="0" y="0"/>
                <wp:positionH relativeFrom="margin">
                  <wp:align>right</wp:align>
                </wp:positionH>
                <wp:positionV relativeFrom="paragraph">
                  <wp:posOffset>5259070</wp:posOffset>
                </wp:positionV>
                <wp:extent cx="6476365" cy="390525"/>
                <wp:effectExtent l="0" t="0" r="635" b="9525"/>
                <wp:wrapNone/>
                <wp:docPr id="2" name="テキスト ボックス 2"/>
                <wp:cNvGraphicFramePr/>
                <a:graphic xmlns:a="http://schemas.openxmlformats.org/drawingml/2006/main">
                  <a:graphicData uri="http://schemas.microsoft.com/office/word/2010/wordprocessingShape">
                    <wps:wsp>
                      <wps:cNvSpPr txBox="1"/>
                      <wps:spPr>
                        <a:xfrm>
                          <a:off x="0" y="0"/>
                          <a:ext cx="6476365" cy="390525"/>
                        </a:xfrm>
                        <a:prstGeom prst="rect">
                          <a:avLst/>
                        </a:prstGeom>
                        <a:solidFill>
                          <a:sysClr val="window" lastClr="FFFFFF"/>
                        </a:solidFill>
                        <a:ln w="6350">
                          <a:noFill/>
                        </a:ln>
                        <a:effectLst/>
                      </wps:spPr>
                      <wps:txbx>
                        <w:txbxContent>
                          <w:p w:rsidR="00644E53" w:rsidRPr="00644E53" w:rsidRDefault="00644E53" w:rsidP="00644E53">
                            <w:pPr>
                              <w:rPr>
                                <w:sz w:val="18"/>
                                <w:szCs w:val="18"/>
                              </w:rPr>
                            </w:pPr>
                            <w:r w:rsidRPr="00644E53">
                              <w:rPr>
                                <w:rFonts w:hint="eastAsia"/>
                                <w:sz w:val="18"/>
                                <w:szCs w:val="18"/>
                              </w:rPr>
                              <w:t>＜参考＞特別支援学校教育要領・学習指導要領解説　自立活動編（幼稚部・小学部・中学部）平成</w:t>
                            </w:r>
                            <w:r w:rsidRPr="00644E53">
                              <w:rPr>
                                <w:rFonts w:hint="eastAsia"/>
                                <w:sz w:val="18"/>
                                <w:szCs w:val="18"/>
                              </w:rPr>
                              <w:t>30</w:t>
                            </w:r>
                            <w:r w:rsidRPr="00644E53">
                              <w:rPr>
                                <w:rFonts w:hint="eastAsia"/>
                                <w:sz w:val="18"/>
                                <w:szCs w:val="18"/>
                              </w:rPr>
                              <w:t>年</w:t>
                            </w:r>
                            <w:r>
                              <w:rPr>
                                <w:rFonts w:hint="eastAsia"/>
                                <w:sz w:val="18"/>
                                <w:szCs w:val="18"/>
                              </w:rPr>
                              <w:t>3</w:t>
                            </w:r>
                            <w:r>
                              <w:rPr>
                                <w:rFonts w:hint="eastAsia"/>
                                <w:sz w:val="18"/>
                                <w:szCs w:val="18"/>
                              </w:rPr>
                              <w:t>月　文部科学省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64AA8" id="_x0000_s1028" type="#_x0000_t202" style="position:absolute;left:0;text-align:left;margin-left:458.75pt;margin-top:414.1pt;width:509.95pt;height:30.7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" fillcolor="window" stroked="f" strokeweight=".5pt">
                <v:textbox>
                  <w:txbxContent>
                    <w:p w:rsidR="00644E53" w:rsidRPr="00644E53" w:rsidRDefault="00644E53" w:rsidP="00644E53">
                      <w:pPr>
                        <w:rPr>
                          <w:sz w:val="18"/>
                          <w:szCs w:val="18"/>
                        </w:rPr>
                      </w:pPr>
                      <w:r w:rsidRPr="00644E53">
                        <w:rPr>
                          <w:rFonts w:hint="eastAsia"/>
                          <w:sz w:val="18"/>
                          <w:szCs w:val="18"/>
                        </w:rPr>
                        <w:t>＜参考＞特別支援学校教育要領・学習指導要領解説　自立活動編（幼稚部・小学部・中学部）平成</w:t>
                      </w:r>
                      <w:r w:rsidRPr="00644E53">
                        <w:rPr>
                          <w:rFonts w:hint="eastAsia"/>
                          <w:sz w:val="18"/>
                          <w:szCs w:val="18"/>
                        </w:rPr>
                        <w:t>30</w:t>
                      </w:r>
                      <w:r w:rsidRPr="00644E53">
                        <w:rPr>
                          <w:rFonts w:hint="eastAsia"/>
                          <w:sz w:val="18"/>
                          <w:szCs w:val="18"/>
                        </w:rPr>
                        <w:t>年</w:t>
                      </w:r>
                      <w:r>
                        <w:rPr>
                          <w:rFonts w:hint="eastAsia"/>
                          <w:sz w:val="18"/>
                          <w:szCs w:val="18"/>
                        </w:rPr>
                        <w:t>3</w:t>
                      </w:r>
                      <w:r>
                        <w:rPr>
                          <w:rFonts w:hint="eastAsia"/>
                          <w:sz w:val="18"/>
                          <w:szCs w:val="18"/>
                        </w:rPr>
                        <w:t>月　文部科学省</w:t>
                      </w:r>
                    </w:p>
                  </w:txbxContent>
                </v:textbox>
                <w10:wrap anchorx="margin"/>
              </v:shape>
            </w:pict>
          </mc:Fallback>
        </mc:AlternateContent>
      </w:r>
    </w:p>
    <w:sectPr w:rsidR="00162C9E" w:rsidSect="00E75B2F">
      <w:pgSz w:w="11906" w:h="16838" w:code="9"/>
      <w:pgMar w:top="1440" w:right="567" w:bottom="1134" w:left="1077" w:header="851" w:footer="992" w:gutter="0"/>
      <w:cols w:space="425"/>
      <w:docGrid w:type="linesAndChars" w:linePitch="297" w:charSpace="-40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4A66" w:rsidRDefault="00994A66" w:rsidP="00EE5DC2">
      <w:r>
        <w:separator/>
      </w:r>
    </w:p>
  </w:endnote>
  <w:endnote w:type="continuationSeparator" w:id="0">
    <w:p w:rsidR="00994A66" w:rsidRDefault="00994A66" w:rsidP="00EE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4A66" w:rsidRDefault="00994A66" w:rsidP="00EE5DC2">
      <w:r>
        <w:separator/>
      </w:r>
    </w:p>
  </w:footnote>
  <w:footnote w:type="continuationSeparator" w:id="0">
    <w:p w:rsidR="00994A66" w:rsidRDefault="00994A66" w:rsidP="00EE5D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95"/>
  <w:drawingGridVerticalSpacing w:val="29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FE8"/>
    <w:rsid w:val="00033B8F"/>
    <w:rsid w:val="000749CD"/>
    <w:rsid w:val="00162C9E"/>
    <w:rsid w:val="00213C95"/>
    <w:rsid w:val="002911D5"/>
    <w:rsid w:val="002A1010"/>
    <w:rsid w:val="002F0651"/>
    <w:rsid w:val="0042585F"/>
    <w:rsid w:val="0044305E"/>
    <w:rsid w:val="00513FE8"/>
    <w:rsid w:val="00544CA6"/>
    <w:rsid w:val="00564DF1"/>
    <w:rsid w:val="00583222"/>
    <w:rsid w:val="005C3C21"/>
    <w:rsid w:val="00644E53"/>
    <w:rsid w:val="006B0A15"/>
    <w:rsid w:val="006C4518"/>
    <w:rsid w:val="008456AD"/>
    <w:rsid w:val="008C3F0E"/>
    <w:rsid w:val="00994A66"/>
    <w:rsid w:val="00A53903"/>
    <w:rsid w:val="00AA0689"/>
    <w:rsid w:val="00B13521"/>
    <w:rsid w:val="00C16EFC"/>
    <w:rsid w:val="00D50E9B"/>
    <w:rsid w:val="00E75B2F"/>
    <w:rsid w:val="00E8552A"/>
    <w:rsid w:val="00EA24DE"/>
    <w:rsid w:val="00EE5DC2"/>
    <w:rsid w:val="00EE7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127CAB6-B353-4927-9C26-C891DEDD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13F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E5DC2"/>
    <w:pPr>
      <w:tabs>
        <w:tab w:val="center" w:pos="4252"/>
        <w:tab w:val="right" w:pos="8504"/>
      </w:tabs>
      <w:snapToGrid w:val="0"/>
    </w:pPr>
  </w:style>
  <w:style w:type="character" w:customStyle="1" w:styleId="a5">
    <w:name w:val="ヘッダー (文字)"/>
    <w:basedOn w:val="a0"/>
    <w:link w:val="a4"/>
    <w:uiPriority w:val="99"/>
    <w:rsid w:val="00EE5DC2"/>
  </w:style>
  <w:style w:type="paragraph" w:styleId="a6">
    <w:name w:val="footer"/>
    <w:basedOn w:val="a"/>
    <w:link w:val="a7"/>
    <w:uiPriority w:val="99"/>
    <w:unhideWhenUsed/>
    <w:rsid w:val="00EE5DC2"/>
    <w:pPr>
      <w:tabs>
        <w:tab w:val="center" w:pos="4252"/>
        <w:tab w:val="right" w:pos="8504"/>
      </w:tabs>
      <w:snapToGrid w:val="0"/>
    </w:pPr>
  </w:style>
  <w:style w:type="character" w:customStyle="1" w:styleId="a7">
    <w:name w:val="フッター (文字)"/>
    <w:basedOn w:val="a0"/>
    <w:link w:val="a6"/>
    <w:uiPriority w:val="99"/>
    <w:rsid w:val="00EE5DC2"/>
  </w:style>
  <w:style w:type="paragraph" w:styleId="a8">
    <w:name w:val="Balloon Text"/>
    <w:basedOn w:val="a"/>
    <w:link w:val="a9"/>
    <w:uiPriority w:val="99"/>
    <w:semiHidden/>
    <w:unhideWhenUsed/>
    <w:rsid w:val="00EA24D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24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2527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934577</dc:creator>
  <cp:lastModifiedBy>Windows ユーザー</cp:lastModifiedBy>
  <cp:revision>2</cp:revision>
  <cp:lastPrinted>2018-04-23T07:12:00Z</cp:lastPrinted>
  <dcterms:created xsi:type="dcterms:W3CDTF">2018-09-28T06:25:00Z</dcterms:created>
  <dcterms:modified xsi:type="dcterms:W3CDTF">2018-09-28T06:25:00Z</dcterms:modified>
</cp:coreProperties>
</file>